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DAEB6" w14:textId="77777777" w:rsidR="00A94639" w:rsidRPr="003B573A" w:rsidRDefault="00A94639" w:rsidP="00454A2C">
      <w:pPr>
        <w:rPr>
          <w:rFonts w:asciiTheme="minorHAnsi" w:hAnsiTheme="minorHAnsi" w:cstheme="minorHAnsi"/>
        </w:rPr>
      </w:pPr>
      <w:r w:rsidRPr="003B573A">
        <w:rPr>
          <w:rFonts w:asciiTheme="minorHAnsi" w:hAnsiTheme="minorHAnsi" w:cstheme="minorHAnsi"/>
        </w:rPr>
        <w:t xml:space="preserve">As a </w:t>
      </w:r>
      <w:r w:rsidR="00454A2C" w:rsidRPr="006F003E">
        <w:rPr>
          <w:rFonts w:asciiTheme="minorHAnsi" w:hAnsiTheme="minorHAnsi" w:cstheme="minorHAnsi"/>
          <w:b/>
          <w:bCs/>
        </w:rPr>
        <w:t>Proponent or IPR Holder</w:t>
      </w:r>
      <w:r w:rsidRPr="003B573A">
        <w:rPr>
          <w:rFonts w:asciiTheme="minorHAnsi" w:hAnsiTheme="minorHAnsi" w:cstheme="minorHAnsi"/>
        </w:rPr>
        <w:t>, your attention is drawn to the ITU IPR policy available at (</w:t>
      </w:r>
      <w:hyperlink r:id="rId7" w:history="1">
        <w:r w:rsidRPr="003B573A">
          <w:rPr>
            <w:rStyle w:val="Hyperlink"/>
            <w:rFonts w:asciiTheme="minorHAnsi" w:hAnsiTheme="minorHAnsi" w:cstheme="minorHAnsi"/>
          </w:rPr>
          <w:t>http://www.itu.int/en/ITU-T/ipr/Pages/policy.aspx</w:t>
        </w:r>
      </w:hyperlink>
      <w:r w:rsidRPr="003B573A">
        <w:rPr>
          <w:rFonts w:asciiTheme="minorHAnsi" w:hAnsiTheme="minorHAnsi" w:cstheme="minorHAnsi"/>
        </w:rPr>
        <w:t xml:space="preserve">) which is included </w:t>
      </w:r>
      <w:r w:rsidR="00454A2C" w:rsidRPr="003B573A">
        <w:rPr>
          <w:rFonts w:asciiTheme="minorHAnsi" w:hAnsiTheme="minorHAnsi" w:cstheme="minorHAnsi"/>
        </w:rPr>
        <w:t xml:space="preserve">below </w:t>
      </w:r>
      <w:r w:rsidRPr="003B573A">
        <w:rPr>
          <w:rFonts w:asciiTheme="minorHAnsi" w:hAnsiTheme="minorHAnsi" w:cstheme="minorHAnsi"/>
        </w:rPr>
        <w:t>for your convenience:</w:t>
      </w:r>
    </w:p>
    <w:p w14:paraId="3234252E" w14:textId="77777777" w:rsidR="00A94639" w:rsidRPr="003B573A" w:rsidRDefault="00A94639" w:rsidP="00A94639">
      <w:pPr>
        <w:rPr>
          <w:rFonts w:asciiTheme="minorHAnsi" w:hAnsiTheme="minorHAnsi" w:cstheme="minorHAnsi"/>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621DA46A" w14:textId="77777777" w:rsidTr="006A070E">
        <w:trPr>
          <w:trHeight w:val="203"/>
          <w:tblCellSpacing w:w="15" w:type="dxa"/>
        </w:trPr>
        <w:tc>
          <w:tcPr>
            <w:tcW w:w="4970" w:type="pct"/>
            <w:tcBorders>
              <w:top w:val="single" w:sz="8" w:space="0" w:color="1F59A2"/>
              <w:left w:val="single" w:sz="8" w:space="0" w:color="1F59A2"/>
              <w:bottom w:val="single" w:sz="8" w:space="0" w:color="1F59A2"/>
              <w:right w:val="single" w:sz="8" w:space="0" w:color="1F59A2"/>
            </w:tcBorders>
            <w:shd w:val="clear" w:color="auto" w:fill="C7D3E7"/>
            <w:tcMar>
              <w:top w:w="100" w:type="dxa"/>
              <w:left w:w="100" w:type="dxa"/>
              <w:bottom w:w="100" w:type="dxa"/>
              <w:right w:w="100" w:type="dxa"/>
            </w:tcMar>
            <w:vAlign w:val="center"/>
            <w:hideMark/>
          </w:tcPr>
          <w:p w14:paraId="15831DDF" w14:textId="77777777" w:rsidR="00A94639" w:rsidRPr="003B573A" w:rsidRDefault="00A94639" w:rsidP="00DC5BE1">
            <w:pPr>
              <w:spacing w:line="240" w:lineRule="atLeast"/>
              <w:rPr>
                <w:rFonts w:asciiTheme="minorHAnsi" w:hAnsiTheme="minorHAnsi" w:cstheme="minorHAnsi"/>
                <w:b/>
                <w:bCs/>
                <w:i/>
                <w:iCs/>
                <w:color w:val="000000"/>
              </w:rPr>
            </w:pPr>
            <w:r w:rsidRPr="003B573A">
              <w:rPr>
                <w:rFonts w:asciiTheme="minorHAnsi" w:hAnsiTheme="minorHAnsi" w:cstheme="minorHAnsi"/>
                <w:b/>
                <w:bCs/>
                <w:i/>
                <w:iCs/>
                <w:color w:val="000000"/>
              </w:rPr>
              <w:t>Common Patent Policy for ITU-T/ITU-R/ISO/IEC</w:t>
            </w:r>
          </w:p>
        </w:tc>
      </w:tr>
    </w:tbl>
    <w:p w14:paraId="26395D63" w14:textId="77777777" w:rsidR="00A94639" w:rsidRPr="003B573A" w:rsidRDefault="00A94639" w:rsidP="00A94639">
      <w:pPr>
        <w:spacing w:line="240" w:lineRule="atLeast"/>
        <w:rPr>
          <w:rFonts w:asciiTheme="minorHAnsi" w:hAnsiTheme="minorHAnsi" w:cstheme="minorHAnsi"/>
          <w:i/>
          <w:iCs/>
          <w:vanish/>
          <w:color w:val="000000"/>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29EAC6A4" w14:textId="77777777" w:rsidTr="006A070E">
        <w:trPr>
          <w:tblCellSpacing w:w="15" w:type="dxa"/>
        </w:trPr>
        <w:tc>
          <w:tcPr>
            <w:tcW w:w="4970" w:type="pct"/>
            <w:tcBorders>
              <w:top w:val="dashed" w:sz="8" w:space="0" w:color="9C9C9C"/>
              <w:left w:val="dashed" w:sz="8" w:space="0" w:color="9C9C9C"/>
              <w:bottom w:val="dashed" w:sz="8" w:space="0" w:color="9C9C9C"/>
              <w:right w:val="dashed" w:sz="8" w:space="0" w:color="9C9C9C"/>
            </w:tcBorders>
            <w:tcMar>
              <w:top w:w="0" w:type="dxa"/>
              <w:left w:w="100" w:type="dxa"/>
              <w:bottom w:w="0" w:type="dxa"/>
              <w:right w:w="100" w:type="dxa"/>
            </w:tcMar>
            <w:hideMark/>
          </w:tcPr>
          <w:p w14:paraId="01C06181"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The following is a "code of practice" regarding patents covering, in varying degrees, the subject matters of ITU 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experts; thus, they may not necessarily be very familiar with the complex international legal situation of intellectual proper</w:t>
            </w:r>
            <w:r w:rsidR="00F221EE">
              <w:rPr>
                <w:rFonts w:asciiTheme="minorHAnsi" w:eastAsia="Times New Roman" w:hAnsiTheme="minorHAnsi" w:cstheme="minorHAnsi"/>
                <w:color w:val="000000"/>
                <w:lang w:val="en"/>
              </w:rPr>
              <w:t>ty rights such as patents, etc.</w:t>
            </w:r>
          </w:p>
          <w:p w14:paraId="4C6950BA"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w:t>
            </w:r>
            <w:r w:rsidR="00F221EE">
              <w:rPr>
                <w:rFonts w:asciiTheme="minorHAnsi" w:eastAsia="Times New Roman" w:hAnsiTheme="minorHAnsi" w:cstheme="minorHAnsi"/>
                <w:color w:val="000000"/>
                <w:lang w:val="en"/>
              </w:rPr>
              <w:t>c. are accessible to everybody.</w:t>
            </w:r>
          </w:p>
          <w:p w14:paraId="7F4AD89E" w14:textId="77777777" w:rsidR="0000487A" w:rsidRDefault="00A94639" w:rsidP="0000487A">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might d</w:t>
            </w:r>
            <w:r w:rsidR="0000487A">
              <w:rPr>
                <w:rFonts w:asciiTheme="minorHAnsi" w:eastAsia="Times New Roman" w:hAnsiTheme="minorHAnsi" w:cstheme="minorHAnsi"/>
                <w:color w:val="000000"/>
                <w:lang w:val="en"/>
              </w:rPr>
              <w:t>iffer from case to case.</w:t>
            </w:r>
          </w:p>
          <w:p w14:paraId="75652F90" w14:textId="77777777" w:rsidR="00A94639" w:rsidRPr="003B573A" w:rsidRDefault="00A94639" w:rsidP="0000487A">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This code of practic</w:t>
            </w:r>
            <w:r w:rsidR="0000487A">
              <w:rPr>
                <w:rFonts w:asciiTheme="minorHAnsi" w:eastAsia="Times New Roman" w:hAnsiTheme="minorHAnsi" w:cstheme="minorHAnsi"/>
                <w:color w:val="000000"/>
                <w:lang w:val="en"/>
              </w:rPr>
              <w:t>e may be summarized as follows:</w:t>
            </w:r>
          </w:p>
          <w:p w14:paraId="45DEA56B"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1.</w:t>
            </w:r>
            <w:r w:rsidR="0000487A" w:rsidRPr="000B326C">
              <w:tab/>
            </w:r>
            <w:r w:rsidRPr="003B573A">
              <w:rPr>
                <w:rFonts w:asciiTheme="minorHAnsi" w:eastAsia="Times New Roman" w:hAnsiTheme="minorHAnsi" w:cstheme="minorHAnsi"/>
                <w:color w:val="000000"/>
                <w:lang w:val="en"/>
              </w:rPr>
              <w:t xml:space="preserve">The ITU Telecommunication Standardization Bureau (TSB), the ITU Radiocommunication Bureau (BR) and the offices of the CEOs of ISO and IEC are not </w:t>
            </w:r>
            <w:proofErr w:type="gramStart"/>
            <w:r w:rsidRPr="003B573A">
              <w:rPr>
                <w:rFonts w:asciiTheme="minorHAnsi" w:eastAsia="Times New Roman" w:hAnsiTheme="minorHAnsi" w:cstheme="minorHAnsi"/>
                <w:color w:val="000000"/>
                <w:lang w:val="en"/>
              </w:rPr>
              <w:t>in a position</w:t>
            </w:r>
            <w:proofErr w:type="gramEnd"/>
            <w:r w:rsidRPr="003B573A">
              <w:rPr>
                <w:rFonts w:asciiTheme="minorHAnsi" w:eastAsia="Times New Roman" w:hAnsiTheme="minorHAnsi" w:cstheme="minorHAnsi"/>
                <w:color w:val="000000"/>
                <w:lang w:val="en"/>
              </w:rPr>
              <w:t xml:space="preserve">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w:t>
            </w:r>
            <w:r w:rsidR="00F221EE">
              <w:rPr>
                <w:rFonts w:asciiTheme="minorHAnsi" w:eastAsia="Times New Roman" w:hAnsiTheme="minorHAnsi" w:cstheme="minorHAnsi"/>
                <w:color w:val="000000"/>
                <w:lang w:val="en"/>
              </w:rPr>
              <w:t>lidity of any such information.</w:t>
            </w:r>
          </w:p>
          <w:p w14:paraId="097CC853" w14:textId="77777777" w:rsidR="00A94639" w:rsidRDefault="00A94639" w:rsidP="0000487A">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w:t>
            </w:r>
            <w:r w:rsidR="0000487A" w:rsidRPr="000B326C">
              <w:tab/>
            </w:r>
            <w:r w:rsidRPr="003B573A">
              <w:rPr>
                <w:rFonts w:asciiTheme="minorHAnsi" w:eastAsia="Times New Roman" w:hAnsiTheme="minorHAnsi" w:cstheme="minorHAnsi"/>
                <w:color w:val="000000"/>
                <w:lang w:val="en"/>
              </w:rPr>
              <w:t xml:space="preserve">If a Recommendation | Deliverable is developed and such information as referred to in paragraph 1 has been disclosed, three </w:t>
            </w:r>
            <w:r w:rsidR="00F221EE">
              <w:rPr>
                <w:rFonts w:asciiTheme="minorHAnsi" w:eastAsia="Times New Roman" w:hAnsiTheme="minorHAnsi" w:cstheme="minorHAnsi"/>
                <w:color w:val="000000"/>
                <w:lang w:val="en"/>
              </w:rPr>
              <w:t>different situations may arise:</w:t>
            </w:r>
          </w:p>
          <w:p w14:paraId="131DD273" w14:textId="77777777" w:rsidR="00F221EE" w:rsidRDefault="00A94639" w:rsidP="0000487A">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2.1</w:t>
            </w:r>
            <w:r w:rsidR="0000487A" w:rsidRPr="000B326C">
              <w:tab/>
            </w:r>
            <w:r w:rsidRPr="003B573A">
              <w:rPr>
                <w:rFonts w:asciiTheme="minorHAnsi" w:eastAsia="Times New Roman" w:hAnsiTheme="minorHAnsi" w:cstheme="minorHAnsi"/>
                <w:color w:val="000000"/>
                <w:lang w:val="en"/>
              </w:rPr>
              <w:t xml:space="preserve">The patent holder is willing to negotiate </w:t>
            </w:r>
            <w:proofErr w:type="spellStart"/>
            <w:r w:rsidRPr="003B573A">
              <w:rPr>
                <w:rFonts w:asciiTheme="minorHAnsi" w:eastAsia="Times New Roman" w:hAnsiTheme="minorHAnsi" w:cstheme="minorHAnsi"/>
                <w:color w:val="000000"/>
                <w:lang w:val="en"/>
              </w:rPr>
              <w:t>licences</w:t>
            </w:r>
            <w:proofErr w:type="spellEnd"/>
            <w:r w:rsidRPr="003B573A">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7A1F4563" w14:textId="77777777" w:rsidR="00F221EE" w:rsidRDefault="0000487A"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2.2</w:t>
            </w:r>
            <w:r w:rsidRPr="000B326C">
              <w:tab/>
            </w:r>
            <w:r w:rsidR="00A94639" w:rsidRPr="003B573A">
              <w:rPr>
                <w:rFonts w:asciiTheme="minorHAnsi" w:eastAsia="Times New Roman" w:hAnsiTheme="minorHAnsi" w:cstheme="minorHAnsi"/>
                <w:color w:val="000000"/>
                <w:lang w:val="en"/>
              </w:rPr>
              <w:t xml:space="preserve">The patent holder is willing to negotiate </w:t>
            </w:r>
            <w:proofErr w:type="spellStart"/>
            <w:r w:rsidR="00A94639" w:rsidRPr="003B573A">
              <w:rPr>
                <w:rFonts w:asciiTheme="minorHAnsi" w:eastAsia="Times New Roman" w:hAnsiTheme="minorHAnsi" w:cstheme="minorHAnsi"/>
                <w:color w:val="000000"/>
                <w:lang w:val="en"/>
              </w:rPr>
              <w:t>licences</w:t>
            </w:r>
            <w:proofErr w:type="spellEnd"/>
            <w:r w:rsidR="00A94639" w:rsidRPr="003B573A">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1CB5EF56" w14:textId="77777777" w:rsidR="00366191" w:rsidRPr="00366191" w:rsidRDefault="0000487A"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2.3</w:t>
            </w:r>
            <w:r w:rsidRPr="000B326C">
              <w:tab/>
            </w:r>
            <w:r w:rsidR="00A94639" w:rsidRPr="003B573A">
              <w:rPr>
                <w:rFonts w:asciiTheme="minorHAnsi" w:eastAsia="Times New Roman" w:hAnsiTheme="minorHAnsi" w:cstheme="minorHAnsi"/>
                <w:color w:val="000000"/>
                <w:lang w:val="en"/>
              </w:rPr>
              <w:t>The patent holder is not willing to comply with the provisions of either paragraph 2.1 or paragraph 2.2; in such case, the Recommendation | Deliverable shall not include provisions depending on the patent.</w:t>
            </w:r>
            <w:r w:rsidR="00366191">
              <w:t xml:space="preserve"> </w:t>
            </w:r>
            <w:r w:rsidR="00366191" w:rsidRPr="00366191">
              <w:rPr>
                <w:rFonts w:asciiTheme="minorHAnsi" w:eastAsia="Times New Roman" w:hAnsiTheme="minorHAnsi" w:cstheme="minorHAnsi"/>
                <w:color w:val="000000"/>
                <w:lang w:val="en"/>
              </w:rPr>
              <w:t xml:space="preserve">The following is a "code of practice" regarding patents covering, in varying degrees, the subject matters of ITU 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w:t>
            </w:r>
            <w:proofErr w:type="gramStart"/>
            <w:r w:rsidR="00366191" w:rsidRPr="00366191">
              <w:rPr>
                <w:rFonts w:asciiTheme="minorHAnsi" w:eastAsia="Times New Roman" w:hAnsiTheme="minorHAnsi" w:cstheme="minorHAnsi"/>
                <w:color w:val="000000"/>
                <w:lang w:val="en"/>
              </w:rPr>
              <w:lastRenderedPageBreak/>
              <w:t>experts;</w:t>
            </w:r>
            <w:proofErr w:type="gramEnd"/>
            <w:r w:rsidR="00366191" w:rsidRPr="00366191">
              <w:rPr>
                <w:rFonts w:asciiTheme="minorHAnsi" w:eastAsia="Times New Roman" w:hAnsiTheme="minorHAnsi" w:cstheme="minorHAnsi"/>
                <w:color w:val="000000"/>
                <w:lang w:val="en"/>
              </w:rPr>
              <w:t xml:space="preserve"> thus, they may not necessarily be very familiar with the complex international legal situation of intellectual proper</w:t>
            </w:r>
            <w:r w:rsidR="00F221EE">
              <w:rPr>
                <w:rFonts w:asciiTheme="minorHAnsi" w:eastAsia="Times New Roman" w:hAnsiTheme="minorHAnsi" w:cstheme="minorHAnsi"/>
                <w:color w:val="000000"/>
                <w:lang w:val="en"/>
              </w:rPr>
              <w:t>ty rights such as patents, etc.</w:t>
            </w:r>
          </w:p>
          <w:p w14:paraId="0AAB8033" w14:textId="77777777" w:rsidR="00F221EE" w:rsidRDefault="00366191" w:rsidP="00F221EE">
            <w:pPr>
              <w:shd w:val="clear" w:color="auto" w:fill="FFFFFF"/>
              <w:spacing w:before="120"/>
              <w:rPr>
                <w:rFonts w:asciiTheme="minorHAnsi" w:eastAsia="Times New Roman" w:hAnsiTheme="minorHAnsi" w:cstheme="minorHAnsi"/>
                <w:color w:val="000000"/>
                <w:lang w:val="en"/>
              </w:rPr>
            </w:pPr>
            <w:r w:rsidRPr="00366191">
              <w:rPr>
                <w:rFonts w:asciiTheme="minorHAnsi" w:eastAsia="Times New Roman" w:hAnsiTheme="minorHAnsi" w:cstheme="minorHAnsi"/>
                <w:color w:val="000000"/>
                <w:lang w:val="en"/>
              </w:rPr>
              <w:t xml:space="preserve">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etc. are accessible to everybody. 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w:t>
            </w:r>
            <w:r w:rsidR="0000487A">
              <w:rPr>
                <w:rFonts w:asciiTheme="minorHAnsi" w:eastAsia="Times New Roman" w:hAnsiTheme="minorHAnsi" w:cstheme="minorHAnsi"/>
                <w:color w:val="000000"/>
                <w:lang w:val="en"/>
              </w:rPr>
              <w:t>might differ from case to case.</w:t>
            </w:r>
          </w:p>
          <w:p w14:paraId="7061E2B7"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366191">
              <w:rPr>
                <w:rFonts w:asciiTheme="minorHAnsi" w:eastAsia="Times New Roman" w:hAnsiTheme="minorHAnsi" w:cstheme="minorHAnsi"/>
                <w:color w:val="000000"/>
                <w:lang w:val="en"/>
              </w:rPr>
              <w:t>This code of practice may be summarized as follows:</w:t>
            </w:r>
          </w:p>
          <w:p w14:paraId="76437D8A" w14:textId="77777777" w:rsidR="00F221EE"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1.</w:t>
            </w:r>
            <w:r w:rsidR="00F221EE" w:rsidRPr="000B326C">
              <w:tab/>
            </w:r>
            <w:r w:rsidRPr="00366191">
              <w:rPr>
                <w:rFonts w:asciiTheme="minorHAnsi" w:eastAsia="Times New Roman" w:hAnsiTheme="minorHAnsi" w:cstheme="minorHAnsi"/>
                <w:color w:val="000000"/>
                <w:lang w:val="en"/>
              </w:rPr>
              <w:t xml:space="preserve">The ITU Telecommunication Standardization Bureau (TSB), the ITU Radiocommunication Bureau (BR) and the offices of the CEOs of ISO and IEC are not </w:t>
            </w:r>
            <w:proofErr w:type="gramStart"/>
            <w:r w:rsidRPr="00366191">
              <w:rPr>
                <w:rFonts w:asciiTheme="minorHAnsi" w:eastAsia="Times New Roman" w:hAnsiTheme="minorHAnsi" w:cstheme="minorHAnsi"/>
                <w:color w:val="000000"/>
                <w:lang w:val="en"/>
              </w:rPr>
              <w:t>in a position</w:t>
            </w:r>
            <w:proofErr w:type="gramEnd"/>
            <w:r w:rsidRPr="00366191">
              <w:rPr>
                <w:rFonts w:asciiTheme="minorHAnsi" w:eastAsia="Times New Roman" w:hAnsiTheme="minorHAnsi" w:cstheme="minorHAnsi"/>
                <w:color w:val="000000"/>
                <w:lang w:val="en"/>
              </w:rPr>
              <w:t xml:space="preserve">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w:t>
            </w:r>
            <w:r w:rsidR="00F221EE">
              <w:rPr>
                <w:rFonts w:asciiTheme="minorHAnsi" w:eastAsia="Times New Roman" w:hAnsiTheme="minorHAnsi" w:cstheme="minorHAnsi"/>
                <w:color w:val="000000"/>
                <w:lang w:val="en"/>
              </w:rPr>
              <w:t>lidity of any such information.</w:t>
            </w:r>
          </w:p>
          <w:p w14:paraId="1634091A"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w:t>
            </w:r>
            <w:r w:rsidR="00F221EE" w:rsidRPr="000B326C">
              <w:tab/>
            </w:r>
            <w:r w:rsidRPr="00366191">
              <w:rPr>
                <w:rFonts w:asciiTheme="minorHAnsi" w:eastAsia="Times New Roman" w:hAnsiTheme="minorHAnsi" w:cstheme="minorHAnsi"/>
                <w:color w:val="000000"/>
                <w:lang w:val="en"/>
              </w:rPr>
              <w:t>If a Recommendation | Deliverable is developed and such information as referred to in paragraph 1 has been disclosed, three different situations may arise:</w:t>
            </w:r>
          </w:p>
          <w:p w14:paraId="654DE88F"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2.1</w:t>
            </w:r>
            <w:r w:rsidR="00F221EE" w:rsidRPr="000B326C">
              <w:tab/>
            </w:r>
            <w:r w:rsidRPr="00366191">
              <w:rPr>
                <w:rFonts w:asciiTheme="minorHAnsi" w:eastAsia="Times New Roman" w:hAnsiTheme="minorHAnsi" w:cstheme="minorHAnsi"/>
                <w:color w:val="000000"/>
                <w:lang w:val="en"/>
              </w:rPr>
              <w:t xml:space="preserve">The patent holder is willing to negotiate </w:t>
            </w:r>
            <w:proofErr w:type="spellStart"/>
            <w:r w:rsidRPr="00366191">
              <w:rPr>
                <w:rFonts w:asciiTheme="minorHAnsi" w:eastAsia="Times New Roman" w:hAnsiTheme="minorHAnsi" w:cstheme="minorHAnsi"/>
                <w:color w:val="000000"/>
                <w:lang w:val="en"/>
              </w:rPr>
              <w:t>licences</w:t>
            </w:r>
            <w:proofErr w:type="spellEnd"/>
            <w:r w:rsidRPr="00366191">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78DFA60A"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2.2</w:t>
            </w:r>
            <w:r w:rsidR="00F221EE" w:rsidRPr="000B326C">
              <w:tab/>
            </w:r>
            <w:r w:rsidRPr="00366191">
              <w:rPr>
                <w:rFonts w:asciiTheme="minorHAnsi" w:eastAsia="Times New Roman" w:hAnsiTheme="minorHAnsi" w:cstheme="minorHAnsi"/>
                <w:color w:val="000000"/>
                <w:lang w:val="en"/>
              </w:rPr>
              <w:t xml:space="preserve">The patent holder is willing to negotiate </w:t>
            </w:r>
            <w:proofErr w:type="spellStart"/>
            <w:r w:rsidRPr="00366191">
              <w:rPr>
                <w:rFonts w:asciiTheme="minorHAnsi" w:eastAsia="Times New Roman" w:hAnsiTheme="minorHAnsi" w:cstheme="minorHAnsi"/>
                <w:color w:val="000000"/>
                <w:lang w:val="en"/>
              </w:rPr>
              <w:t>licences</w:t>
            </w:r>
            <w:proofErr w:type="spellEnd"/>
            <w:r w:rsidRPr="00366191">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performed outside ITU-T/ITU-R/ISO/IEC. </w:t>
            </w:r>
          </w:p>
          <w:p w14:paraId="36F1C3A5" w14:textId="77777777" w:rsid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2.3</w:t>
            </w:r>
            <w:r w:rsidR="00F221EE" w:rsidRPr="000B326C">
              <w:tab/>
            </w:r>
            <w:r w:rsidRPr="00366191">
              <w:rPr>
                <w:rFonts w:asciiTheme="minorHAnsi" w:eastAsia="Times New Roman" w:hAnsiTheme="minorHAnsi" w:cstheme="minorHAnsi"/>
                <w:color w:val="000000"/>
                <w:lang w:val="en"/>
              </w:rPr>
              <w:t>The patent holder is not willing to comply with the provisions of either paragraph 2.1 or paragraph 2.2; in such case, the Recommendation | Deliverable shall not include provisions depending on the patent.</w:t>
            </w:r>
          </w:p>
          <w:p w14:paraId="73EB6E13" w14:textId="77777777" w:rsidR="00A94639" w:rsidRPr="00F221EE"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3.</w:t>
            </w:r>
            <w:r w:rsidR="00F221EE" w:rsidRPr="000B326C">
              <w:tab/>
            </w:r>
            <w:r w:rsidRPr="00366191">
              <w:rPr>
                <w:rFonts w:asciiTheme="minorHAnsi" w:eastAsia="Times New Roman" w:hAnsiTheme="minorHAnsi" w:cstheme="minorHAnsi"/>
                <w:color w:val="000000"/>
                <w:lang w:val="en"/>
              </w:rPr>
              <w:t>Whatever case applies (2.1, 2.2 or 2.3), the patent holder has to provide a written statement to be filed at ITU-TSB, ITU-BR or the offices of the CEOs of ISO or IEC, respectively, using the appropriate "</w:t>
            </w:r>
            <w:hyperlink r:id="rId8" w:history="1">
              <w:r w:rsidRPr="009567E7">
                <w:rPr>
                  <w:rStyle w:val="Hyperlink"/>
                  <w:rFonts w:asciiTheme="minorHAnsi" w:eastAsia="Times New Roman" w:hAnsiTheme="minorHAnsi" w:cstheme="minorHAnsi"/>
                  <w:lang w:val="en"/>
                </w:rPr>
                <w:t>Patent Statement and Licensing Declaration</w:t>
              </w:r>
            </w:hyperlink>
            <w:r w:rsidRPr="00366191">
              <w:rPr>
                <w:rFonts w:asciiTheme="minorHAnsi" w:eastAsia="Times New Roman" w:hAnsiTheme="minorHAnsi" w:cstheme="minorHAnsi"/>
                <w:color w:val="000000"/>
                <w:lang w:val="en"/>
              </w:rPr>
              <w:t xml:space="preserve">" form. This statement must not include additional provisions, conditions, or any other exclusion clauses </w:t>
            </w:r>
            <w:proofErr w:type="gramStart"/>
            <w:r w:rsidRPr="00366191">
              <w:rPr>
                <w:rFonts w:asciiTheme="minorHAnsi" w:eastAsia="Times New Roman" w:hAnsiTheme="minorHAnsi" w:cstheme="minorHAnsi"/>
                <w:color w:val="000000"/>
                <w:lang w:val="en"/>
              </w:rPr>
              <w:t>in excess of</w:t>
            </w:r>
            <w:proofErr w:type="gramEnd"/>
            <w:r w:rsidRPr="00366191">
              <w:rPr>
                <w:rFonts w:asciiTheme="minorHAnsi" w:eastAsia="Times New Roman" w:hAnsiTheme="minorHAnsi" w:cstheme="minorHAnsi"/>
                <w:color w:val="000000"/>
                <w:lang w:val="en"/>
              </w:rPr>
              <w:t xml:space="preserve"> what is provided for each case in the corresponding boxes of the form.</w:t>
            </w:r>
          </w:p>
        </w:tc>
      </w:tr>
    </w:tbl>
    <w:p w14:paraId="2ED33F3F" w14:textId="77777777" w:rsidR="00A94639" w:rsidRPr="003B573A" w:rsidRDefault="00A94639" w:rsidP="00A94639">
      <w:pPr>
        <w:pStyle w:val="Header"/>
        <w:rPr>
          <w:rFonts w:asciiTheme="minorHAnsi" w:hAnsiTheme="minorHAnsi" w:cstheme="minorHAnsi"/>
          <w:b/>
          <w:bCs/>
        </w:rPr>
      </w:pPr>
    </w:p>
    <w:p w14:paraId="792E1A2B" w14:textId="77777777" w:rsidR="00A94639" w:rsidRPr="006F003E" w:rsidRDefault="00A94639" w:rsidP="006F003E">
      <w:pPr>
        <w:spacing w:after="200" w:line="276" w:lineRule="auto"/>
        <w:rPr>
          <w:rFonts w:asciiTheme="minorHAnsi" w:hAnsiTheme="minorHAnsi" w:cstheme="minorHAnsi"/>
          <w:b/>
          <w:bCs/>
        </w:rPr>
      </w:pPr>
      <w:r w:rsidRPr="003B573A">
        <w:rPr>
          <w:rFonts w:asciiTheme="minorHAnsi" w:hAnsiTheme="minorHAnsi" w:cstheme="minorHAnsi"/>
          <w:b/>
          <w:bCs/>
        </w:rPr>
        <w:t xml:space="preserve">Your attention is drawn to the above with regard to the ITU expecting </w:t>
      </w:r>
      <w:r w:rsidR="006055B9" w:rsidRPr="003B573A">
        <w:rPr>
          <w:rFonts w:asciiTheme="minorHAnsi" w:hAnsiTheme="minorHAnsi" w:cstheme="minorHAnsi"/>
          <w:b/>
          <w:bCs/>
        </w:rPr>
        <w:t xml:space="preserve">to receive </w:t>
      </w:r>
      <w:r w:rsidRPr="003B573A">
        <w:rPr>
          <w:rFonts w:asciiTheme="minorHAnsi" w:hAnsiTheme="minorHAnsi" w:cstheme="minorHAnsi"/>
          <w:b/>
          <w:bCs/>
        </w:rPr>
        <w:t xml:space="preserve">a response on </w:t>
      </w:r>
      <w:r w:rsidR="006055B9" w:rsidRPr="003B573A">
        <w:rPr>
          <w:rFonts w:asciiTheme="minorHAnsi" w:hAnsiTheme="minorHAnsi" w:cstheme="minorHAnsi"/>
          <w:b/>
          <w:bCs/>
        </w:rPr>
        <w:t xml:space="preserve">the matter of </w:t>
      </w:r>
      <w:r w:rsidR="006055B9" w:rsidRPr="003B573A">
        <w:rPr>
          <w:rFonts w:asciiTheme="minorHAnsi" w:hAnsiTheme="minorHAnsi" w:cstheme="minorHAnsi"/>
          <w:b/>
          <w:i/>
          <w:color w:val="000000" w:themeColor="text1"/>
          <w:lang w:eastAsia="ja-JP"/>
        </w:rPr>
        <w:t>Compliance with ITU-R Policy on IPR</w:t>
      </w:r>
      <w:r w:rsidR="006055B9" w:rsidRPr="003B573A">
        <w:rPr>
          <w:rFonts w:asciiTheme="minorHAnsi" w:hAnsiTheme="minorHAnsi" w:cstheme="minorHAnsi"/>
          <w:b/>
          <w:color w:val="000000" w:themeColor="text1"/>
          <w:lang w:eastAsia="ja-JP"/>
        </w:rPr>
        <w:t xml:space="preserve"> </w:t>
      </w:r>
      <w:r w:rsidR="006F003E">
        <w:rPr>
          <w:rFonts w:asciiTheme="minorHAnsi" w:hAnsiTheme="minorHAnsi" w:cstheme="minorHAnsi"/>
          <w:b/>
          <w:bCs/>
        </w:rPr>
        <w:t xml:space="preserve">from your organization through completion of the referenced </w:t>
      </w:r>
      <w:r w:rsidR="006F003E" w:rsidRPr="006F003E">
        <w:rPr>
          <w:rFonts w:asciiTheme="minorHAnsi" w:eastAsia="Times New Roman" w:hAnsiTheme="minorHAnsi" w:cstheme="minorHAnsi"/>
          <w:b/>
          <w:bCs/>
          <w:color w:val="000000"/>
          <w:lang w:val="en"/>
        </w:rPr>
        <w:t>"</w:t>
      </w:r>
      <w:hyperlink r:id="rId9" w:history="1">
        <w:r w:rsidR="006F003E" w:rsidRPr="006F003E">
          <w:rPr>
            <w:rStyle w:val="Hyperlink"/>
            <w:rFonts w:asciiTheme="minorHAnsi" w:eastAsia="Times New Roman" w:hAnsiTheme="minorHAnsi" w:cstheme="minorHAnsi"/>
            <w:b/>
            <w:bCs/>
            <w:lang w:val="en"/>
          </w:rPr>
          <w:t>Patent Statement and Licensing Declaration</w:t>
        </w:r>
      </w:hyperlink>
      <w:r w:rsidR="006F003E" w:rsidRPr="006F003E">
        <w:rPr>
          <w:rFonts w:asciiTheme="minorHAnsi" w:eastAsia="Times New Roman" w:hAnsiTheme="minorHAnsi" w:cstheme="minorHAnsi"/>
          <w:b/>
          <w:bCs/>
          <w:color w:val="000000"/>
          <w:lang w:val="en"/>
        </w:rPr>
        <w:t>" form</w:t>
      </w:r>
      <w:r w:rsidR="006F003E">
        <w:rPr>
          <w:rFonts w:asciiTheme="minorHAnsi" w:eastAsia="Times New Roman" w:hAnsiTheme="minorHAnsi" w:cstheme="minorHAnsi"/>
          <w:b/>
          <w:bCs/>
          <w:color w:val="000000"/>
          <w:lang w:val="en"/>
        </w:rPr>
        <w:t>, enclosed below</w:t>
      </w:r>
      <w:r w:rsidR="006F003E" w:rsidRPr="006F003E">
        <w:rPr>
          <w:rFonts w:asciiTheme="minorHAnsi" w:hAnsiTheme="minorHAnsi" w:cstheme="minorHAnsi"/>
          <w:b/>
          <w:bCs/>
        </w:rPr>
        <w:t xml:space="preserve"> </w:t>
      </w:r>
      <w:r w:rsidR="006F003E">
        <w:rPr>
          <w:rFonts w:asciiTheme="minorHAnsi" w:hAnsiTheme="minorHAnsi" w:cstheme="minorHAnsi"/>
          <w:b/>
          <w:bCs/>
        </w:rPr>
        <w:t>for convenience.</w:t>
      </w:r>
    </w:p>
    <w:p w14:paraId="78AECBFE" w14:textId="77777777" w:rsidR="0089342B" w:rsidRDefault="0089342B">
      <w:pPr>
        <w:spacing w:after="200" w:line="276" w:lineRule="auto"/>
        <w:rPr>
          <w:rFonts w:asciiTheme="minorHAnsi" w:hAnsiTheme="minorHAnsi" w:cstheme="minorHAnsi"/>
          <w:i/>
          <w:iCs/>
        </w:rPr>
      </w:pPr>
      <w:r>
        <w:rPr>
          <w:rFonts w:asciiTheme="minorHAnsi" w:hAnsiTheme="minorHAnsi" w:cstheme="minorHAnsi"/>
          <w:i/>
          <w:iCs/>
        </w:rPr>
        <w:br w:type="page"/>
      </w:r>
    </w:p>
    <w:p w14:paraId="64D4D086" w14:textId="77777777" w:rsidR="00A94639" w:rsidRPr="00FD7DA3" w:rsidRDefault="00A94639" w:rsidP="00A94639">
      <w:pPr>
        <w:pStyle w:val="Header"/>
        <w:rPr>
          <w:rFonts w:asciiTheme="minorHAnsi" w:hAnsiTheme="minorHAnsi" w:cstheme="minorHAnsi"/>
          <w:i/>
          <w:iCs/>
        </w:rPr>
      </w:pPr>
    </w:p>
    <w:p w14:paraId="53508B41" w14:textId="392B92D6" w:rsidR="00CE1ECB" w:rsidRDefault="00366191" w:rsidP="00F221EE">
      <w:pPr>
        <w:spacing w:before="120"/>
      </w:pPr>
      <w:r>
        <w:t>NOTE: Within the IMT-</w:t>
      </w:r>
      <w:r w:rsidR="00EE6841">
        <w:t>Advance</w:t>
      </w:r>
      <w:r>
        <w:t xml:space="preserve"> process, there may be requests to complete the above forms and other certifications as necessary in the future </w:t>
      </w:r>
      <w:r w:rsidRPr="00366191">
        <w:t>in conjunction with Step 8 – Development of radio interface Recommendation(s)</w:t>
      </w:r>
      <w:r w:rsidR="00F221EE">
        <w:t xml:space="preserve">. </w:t>
      </w:r>
      <w:r>
        <w:t>This may include aspects of</w:t>
      </w:r>
      <w:r>
        <w:rPr>
          <w:rFonts w:ascii="Verdana" w:hAnsi="Verdana"/>
          <w:color w:val="000000"/>
          <w:sz w:val="18"/>
          <w:szCs w:val="18"/>
          <w:shd w:val="clear" w:color="auto" w:fill="FFFFFF"/>
        </w:rPr>
        <w:t xml:space="preserve"> implementat</w:t>
      </w:r>
      <w:r w:rsidR="00F221EE">
        <w:rPr>
          <w:rFonts w:ascii="Verdana" w:hAnsi="Verdana"/>
          <w:color w:val="000000"/>
          <w:sz w:val="18"/>
          <w:szCs w:val="18"/>
          <w:shd w:val="clear" w:color="auto" w:fill="FFFFFF"/>
        </w:rPr>
        <w:t>ion of the “</w:t>
      </w:r>
      <w:r>
        <w:rPr>
          <w:rFonts w:ascii="Verdana" w:hAnsi="Verdana"/>
          <w:color w:val="000000"/>
          <w:sz w:val="18"/>
          <w:szCs w:val="18"/>
          <w:shd w:val="clear" w:color="auto" w:fill="FFFFFF"/>
        </w:rPr>
        <w:t>…process and the use of Global Core Specification (GCS), references and related certifications</w:t>
      </w:r>
      <w:r>
        <w:t>…</w:t>
      </w:r>
      <w:r w:rsidR="00F221EE">
        <w:t>”</w:t>
      </w:r>
      <w:r>
        <w:t xml:space="preserve"> such as for GCS Proponents, and Transposing Organizations</w:t>
      </w:r>
      <w:r w:rsidR="005A5456">
        <w:t xml:space="preserve"> or directly incorporated specifications</w:t>
      </w:r>
      <w:r>
        <w:t>.</w:t>
      </w:r>
    </w:p>
    <w:p w14:paraId="53FB3001" w14:textId="77777777" w:rsidR="008458F0" w:rsidRDefault="008458F0" w:rsidP="00057508">
      <w:pPr>
        <w:spacing w:before="240" w:line="276" w:lineRule="auto"/>
        <w:rPr>
          <w:rFonts w:asciiTheme="minorHAnsi" w:hAnsiTheme="minorHAnsi" w:cstheme="minorHAnsi"/>
          <w:i/>
          <w:iCs/>
          <w:color w:val="000000" w:themeColor="text1"/>
          <w:highlight w:val="cyan"/>
        </w:rPr>
      </w:pPr>
    </w:p>
    <w:p w14:paraId="666D65B6" w14:textId="77777777" w:rsidR="00366191" w:rsidRPr="00A35615" w:rsidRDefault="00366191" w:rsidP="00057508">
      <w:pPr>
        <w:spacing w:before="240"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The completed form should be returned to:</w:t>
      </w:r>
    </w:p>
    <w:p w14:paraId="0DE3DEAC" w14:textId="7E8FF64F" w:rsidR="00366191" w:rsidRPr="00A35615" w:rsidRDefault="00366191" w:rsidP="00366191">
      <w:pPr>
        <w:spacing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 xml:space="preserve">Mr. </w:t>
      </w:r>
      <w:r w:rsidR="000426CF">
        <w:rPr>
          <w:rFonts w:asciiTheme="minorHAnsi" w:hAnsiTheme="minorHAnsi" w:cstheme="minorHAnsi"/>
          <w:i/>
          <w:iCs/>
          <w:color w:val="000000" w:themeColor="text1"/>
          <w:highlight w:val="cyan"/>
        </w:rPr>
        <w:t>Uwe Löwenstein</w:t>
      </w:r>
    </w:p>
    <w:p w14:paraId="79E22102" w14:textId="3004B340" w:rsidR="00366191" w:rsidRPr="00FD7DA3" w:rsidRDefault="00366191" w:rsidP="00366191">
      <w:pPr>
        <w:spacing w:line="276" w:lineRule="auto"/>
        <w:rPr>
          <w:rFonts w:asciiTheme="minorHAnsi" w:hAnsiTheme="minorHAnsi" w:cstheme="minorHAnsi"/>
          <w:i/>
          <w:iCs/>
          <w:color w:val="000000" w:themeColor="text1"/>
        </w:rPr>
      </w:pPr>
      <w:r w:rsidRPr="00A35615">
        <w:rPr>
          <w:rFonts w:asciiTheme="minorHAnsi" w:hAnsiTheme="minorHAnsi" w:cstheme="minorHAnsi"/>
          <w:i/>
          <w:iCs/>
          <w:color w:val="000000" w:themeColor="text1"/>
          <w:highlight w:val="cyan"/>
        </w:rPr>
        <w:t xml:space="preserve">Counsellor ITU-R Study Group 5 </w:t>
      </w:r>
      <w:r w:rsidRPr="00A35615">
        <w:rPr>
          <w:rFonts w:asciiTheme="minorHAnsi" w:hAnsiTheme="minorHAnsi" w:cstheme="minorHAnsi"/>
          <w:i/>
          <w:iCs/>
          <w:color w:val="000000" w:themeColor="text1"/>
          <w:highlight w:val="cyan"/>
        </w:rPr>
        <w:br/>
        <w:t xml:space="preserve">email: </w:t>
      </w:r>
      <w:hyperlink r:id="rId10" w:history="1">
        <w:r w:rsidR="000426CF" w:rsidRPr="00870D71">
          <w:rPr>
            <w:rStyle w:val="Hyperlink"/>
            <w:rFonts w:asciiTheme="minorHAnsi" w:hAnsiTheme="minorHAnsi" w:cstheme="minorHAnsi"/>
            <w:i/>
            <w:iCs/>
            <w:highlight w:val="cyan"/>
          </w:rPr>
          <w:t>uwe.loewenstein@itu.int</w:t>
        </w:r>
      </w:hyperlink>
      <w:r w:rsidRPr="00A35615">
        <w:rPr>
          <w:rFonts w:asciiTheme="minorHAnsi" w:hAnsiTheme="minorHAnsi" w:cstheme="minorHAnsi"/>
          <w:i/>
          <w:iCs/>
          <w:color w:val="000000" w:themeColor="text1"/>
          <w:highlight w:val="cyan"/>
        </w:rPr>
        <w:t xml:space="preserve">    </w:t>
      </w:r>
      <w:r w:rsidRPr="00A35615">
        <w:rPr>
          <w:rFonts w:asciiTheme="minorHAnsi" w:hAnsiTheme="minorHAnsi" w:cstheme="minorHAnsi"/>
          <w:i/>
          <w:iCs/>
          <w:color w:val="000000" w:themeColor="text1"/>
          <w:highlight w:val="cyan"/>
        </w:rPr>
        <w:br/>
        <w:t>Phone: +41 22 730 6</w:t>
      </w:r>
      <w:r w:rsidR="000426CF">
        <w:rPr>
          <w:rFonts w:asciiTheme="minorHAnsi" w:hAnsiTheme="minorHAnsi" w:cstheme="minorHAnsi"/>
          <w:i/>
          <w:iCs/>
          <w:color w:val="000000" w:themeColor="text1"/>
          <w:highlight w:val="cyan"/>
        </w:rPr>
        <w:t>0</w:t>
      </w:r>
      <w:r w:rsidRPr="00A35615">
        <w:rPr>
          <w:rFonts w:asciiTheme="minorHAnsi" w:hAnsiTheme="minorHAnsi" w:cstheme="minorHAnsi"/>
          <w:i/>
          <w:iCs/>
          <w:color w:val="000000" w:themeColor="text1"/>
          <w:highlight w:val="cyan"/>
        </w:rPr>
        <w:t xml:space="preserve"> </w:t>
      </w:r>
      <w:r w:rsidR="000426CF">
        <w:rPr>
          <w:rFonts w:asciiTheme="minorHAnsi" w:hAnsiTheme="minorHAnsi" w:cstheme="minorHAnsi"/>
          <w:i/>
          <w:iCs/>
          <w:color w:val="000000" w:themeColor="text1"/>
          <w:highlight w:val="cyan"/>
        </w:rPr>
        <w:t>46</w:t>
      </w:r>
      <w:r w:rsidRPr="00A35615">
        <w:rPr>
          <w:rFonts w:asciiTheme="minorHAnsi" w:hAnsiTheme="minorHAnsi" w:cstheme="minorHAnsi"/>
          <w:i/>
          <w:iCs/>
          <w:color w:val="000000" w:themeColor="text1"/>
          <w:highlight w:val="cyan"/>
        </w:rPr>
        <w:br/>
      </w:r>
    </w:p>
    <w:p w14:paraId="7319303A" w14:textId="77777777" w:rsidR="00454A2C" w:rsidRDefault="00454A2C">
      <w:pPr>
        <w:spacing w:after="200" w:line="276" w:lineRule="auto"/>
      </w:pPr>
      <w:r>
        <w:br w:type="page"/>
      </w:r>
    </w:p>
    <w:p w14:paraId="285C0D7E" w14:textId="77777777" w:rsidR="006F003E" w:rsidRPr="005E0EA1" w:rsidRDefault="006F003E" w:rsidP="006F003E">
      <w:pPr>
        <w:pStyle w:val="Subtitle"/>
        <w:rPr>
          <w:rFonts w:asciiTheme="minorHAnsi" w:hAnsiTheme="minorHAnsi"/>
          <w:w w:val="105"/>
        </w:rPr>
      </w:pPr>
      <w:bookmarkStart w:id="0" w:name="_Toc161569245"/>
      <w:bookmarkStart w:id="1" w:name="_Toc161629648"/>
      <w:bookmarkStart w:id="2" w:name="_Toc279091526"/>
      <w:r w:rsidRPr="005E0EA1">
        <w:rPr>
          <w:rFonts w:asciiTheme="minorHAnsi" w:hAnsiTheme="minorHAnsi" w:cstheme="majorBidi"/>
          <w:w w:val="105"/>
        </w:rPr>
        <w:lastRenderedPageBreak/>
        <w:t>GENERAL PATENT STATEMENT AND LICENSING DECLARATION FORM FOR</w:t>
      </w:r>
      <w:r w:rsidRPr="005E0EA1">
        <w:rPr>
          <w:rFonts w:asciiTheme="minorHAnsi" w:hAnsiTheme="minorHAnsi" w:cstheme="majorBidi"/>
          <w:w w:val="105"/>
        </w:rPr>
        <w:br/>
        <w:t>ITU</w:t>
      </w:r>
      <w:r w:rsidRPr="005E0EA1">
        <w:rPr>
          <w:rFonts w:asciiTheme="minorHAnsi" w:hAnsiTheme="minorHAnsi" w:cstheme="majorBidi"/>
          <w:w w:val="105"/>
        </w:rPr>
        <w:noBreakHyphen/>
        <w:t>T OR ITU-R RECOMMENDATION</w:t>
      </w:r>
      <w:bookmarkEnd w:id="0"/>
      <w:bookmarkEnd w:id="1"/>
      <w:bookmarkEnd w:id="2"/>
    </w:p>
    <w:tbl>
      <w:tblPr>
        <w:tblW w:w="8991" w:type="dxa"/>
        <w:jc w:val="center"/>
        <w:tblLayout w:type="fixed"/>
        <w:tblLook w:val="0000" w:firstRow="0" w:lastRow="0" w:firstColumn="0" w:lastColumn="0" w:noHBand="0" w:noVBand="0"/>
      </w:tblPr>
      <w:tblGrid>
        <w:gridCol w:w="3357"/>
        <w:gridCol w:w="5634"/>
      </w:tblGrid>
      <w:tr w:rsidR="006F003E" w:rsidRPr="005E0EA1" w14:paraId="2E229960" w14:textId="77777777" w:rsidTr="00B7072C">
        <w:trPr>
          <w:cantSplit/>
          <w:trHeight w:val="1033"/>
          <w:jc w:val="center"/>
        </w:trPr>
        <w:tc>
          <w:tcPr>
            <w:tcW w:w="3357" w:type="dxa"/>
          </w:tcPr>
          <w:p w14:paraId="6E7E6E51" w14:textId="77777777" w:rsidR="006F003E" w:rsidRPr="005E0EA1" w:rsidRDefault="006F003E" w:rsidP="00B7072C">
            <w:pPr>
              <w:spacing w:before="100" w:beforeAutospacing="1" w:after="100" w:afterAutospacing="1"/>
              <w:jc w:val="center"/>
              <w:rPr>
                <w:rFonts w:asciiTheme="minorHAnsi" w:hAnsiTheme="minorHAnsi"/>
                <w:b/>
                <w:bCs/>
              </w:rPr>
            </w:pPr>
            <w:r w:rsidRPr="005E0EA1">
              <w:rPr>
                <w:rFonts w:asciiTheme="minorHAnsi" w:hAnsiTheme="minorHAnsi"/>
                <w:noProof/>
                <w:lang w:eastAsia="zh-CN"/>
              </w:rPr>
              <w:drawing>
                <wp:inline distT="0" distB="0" distL="0" distR="0" wp14:anchorId="60772787" wp14:editId="5634632C">
                  <wp:extent cx="684335" cy="721097"/>
                  <wp:effectExtent l="19050" t="0" r="1465" b="0"/>
                  <wp:docPr id="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684133" cy="720884"/>
                          </a:xfrm>
                          <a:prstGeom prst="rect">
                            <a:avLst/>
                          </a:prstGeom>
                          <a:noFill/>
                          <a:ln w="9525">
                            <a:noFill/>
                            <a:miter lim="800000"/>
                            <a:headEnd/>
                            <a:tailEnd/>
                          </a:ln>
                        </pic:spPr>
                      </pic:pic>
                    </a:graphicData>
                  </a:graphic>
                </wp:inline>
              </w:drawing>
            </w:r>
          </w:p>
        </w:tc>
        <w:tc>
          <w:tcPr>
            <w:tcW w:w="5634" w:type="dxa"/>
            <w:vAlign w:val="center"/>
          </w:tcPr>
          <w:p w14:paraId="035B0793" w14:textId="77777777" w:rsidR="006F003E" w:rsidRPr="005E0EA1" w:rsidRDefault="006F003E" w:rsidP="00B7072C">
            <w:pPr>
              <w:pStyle w:val="AnnexTitle"/>
              <w:spacing w:before="0"/>
              <w:rPr>
                <w:rFonts w:asciiTheme="minorHAnsi" w:hAnsiTheme="minorHAnsi"/>
                <w:sz w:val="24"/>
                <w:szCs w:val="24"/>
                <w:u w:val="single"/>
              </w:rPr>
            </w:pPr>
            <w:r w:rsidRPr="005E0EA1">
              <w:rPr>
                <w:rFonts w:asciiTheme="minorHAnsi" w:hAnsiTheme="minorHAnsi"/>
                <w:sz w:val="24"/>
                <w:szCs w:val="24"/>
                <w:u w:val="single"/>
              </w:rPr>
              <w:t>General Patent Statement and Licensing Declaration</w:t>
            </w:r>
          </w:p>
          <w:p w14:paraId="563E467A" w14:textId="77777777" w:rsidR="006F003E" w:rsidRPr="005E0EA1" w:rsidRDefault="006F003E" w:rsidP="00B7072C">
            <w:pPr>
              <w:jc w:val="center"/>
              <w:rPr>
                <w:rFonts w:asciiTheme="minorHAnsi" w:hAnsiTheme="minorHAnsi"/>
                <w:b/>
                <w:sz w:val="20"/>
              </w:rPr>
            </w:pPr>
            <w:r w:rsidRPr="005E0EA1">
              <w:rPr>
                <w:rFonts w:asciiTheme="minorHAnsi" w:hAnsiTheme="minorHAnsi"/>
                <w:b/>
                <w:bCs/>
                <w:szCs w:val="24"/>
                <w:u w:val="single"/>
              </w:rPr>
              <w:t>for ITU-T or ITU-R Recommendation</w:t>
            </w:r>
          </w:p>
        </w:tc>
      </w:tr>
    </w:tbl>
    <w:p w14:paraId="0062D6AA" w14:textId="77777777" w:rsidR="006F003E" w:rsidRPr="005E0EA1" w:rsidRDefault="006F003E" w:rsidP="006F003E">
      <w:pPr>
        <w:spacing w:before="100" w:beforeAutospacing="1" w:after="100" w:afterAutospacing="1"/>
        <w:jc w:val="center"/>
        <w:rPr>
          <w:rFonts w:asciiTheme="minorHAnsi" w:hAnsiTheme="minorHAnsi"/>
          <w:i/>
          <w:sz w:val="20"/>
        </w:rPr>
      </w:pPr>
      <w:r w:rsidRPr="005E0EA1">
        <w:rPr>
          <w:rFonts w:asciiTheme="minorHAnsi" w:hAnsiTheme="minorHAnsi"/>
          <w:i/>
          <w:sz w:val="20"/>
        </w:rPr>
        <w:t>This declaration does not represent an actual grant of a license</w:t>
      </w:r>
    </w:p>
    <w:p w14:paraId="6AD1E29D" w14:textId="77777777" w:rsidR="006F003E" w:rsidRPr="000B326C" w:rsidRDefault="006F003E" w:rsidP="006F003E">
      <w:pPr>
        <w:tabs>
          <w:tab w:val="left" w:pos="1440"/>
          <w:tab w:val="left" w:pos="3261"/>
          <w:tab w:val="decimal" w:pos="5670"/>
        </w:tabs>
        <w:spacing w:before="100" w:beforeAutospacing="1" w:after="120"/>
      </w:pPr>
      <w:r w:rsidRPr="000B326C">
        <w:t>Please return to the relevant</w:t>
      </w:r>
      <w:r w:rsidRPr="000B326C">
        <w:rPr>
          <w:b/>
        </w:rPr>
        <w:t xml:space="preserve"> </w:t>
      </w:r>
      <w:r w:rsidRPr="000B326C">
        <w:t>bureau:</w:t>
      </w:r>
    </w:p>
    <w:tbl>
      <w:tblPr>
        <w:tblW w:w="10081" w:type="dxa"/>
        <w:tblInd w:w="108" w:type="dxa"/>
        <w:tblLayout w:type="fixed"/>
        <w:tblLook w:val="0000" w:firstRow="0" w:lastRow="0" w:firstColumn="0" w:lastColumn="0" w:noHBand="0" w:noVBand="0"/>
      </w:tblPr>
      <w:tblGrid>
        <w:gridCol w:w="62"/>
        <w:gridCol w:w="846"/>
        <w:gridCol w:w="1069"/>
        <w:gridCol w:w="3243"/>
        <w:gridCol w:w="3828"/>
        <w:gridCol w:w="23"/>
        <w:gridCol w:w="834"/>
        <w:gridCol w:w="176"/>
      </w:tblGrid>
      <w:tr w:rsidR="006F003E" w:rsidRPr="000B326C" w14:paraId="79E51D14" w14:textId="77777777" w:rsidTr="00B7072C">
        <w:trPr>
          <w:gridBefore w:val="1"/>
          <w:gridAfter w:val="1"/>
          <w:wBefore w:w="62" w:type="dxa"/>
          <w:wAfter w:w="176" w:type="dxa"/>
          <w:trHeight w:val="1605"/>
        </w:trPr>
        <w:tc>
          <w:tcPr>
            <w:tcW w:w="5158" w:type="dxa"/>
            <w:gridSpan w:val="3"/>
            <w:tcBorders>
              <w:bottom w:val="single" w:sz="4" w:space="0" w:color="auto"/>
            </w:tcBorders>
          </w:tcPr>
          <w:p w14:paraId="10EF9D59" w14:textId="77777777" w:rsidR="006F003E" w:rsidRPr="00F221EE" w:rsidRDefault="006F003E" w:rsidP="00B7072C">
            <w:pPr>
              <w:tabs>
                <w:tab w:val="bar" w:pos="-2552"/>
                <w:tab w:val="center" w:pos="-142"/>
                <w:tab w:val="left" w:pos="1440"/>
                <w:tab w:val="left" w:pos="3261"/>
                <w:tab w:val="decimal" w:pos="5103"/>
                <w:tab w:val="decimal" w:pos="5245"/>
              </w:tabs>
              <w:ind w:right="-1423"/>
              <w:rPr>
                <w:rFonts w:asciiTheme="minorHAnsi" w:hAnsiTheme="minorHAnsi"/>
                <w:sz w:val="18"/>
                <w:szCs w:val="18"/>
              </w:rPr>
            </w:pPr>
            <w:r w:rsidRPr="00F221EE">
              <w:rPr>
                <w:rFonts w:asciiTheme="minorHAnsi" w:hAnsiTheme="minorHAnsi"/>
                <w:sz w:val="18"/>
                <w:szCs w:val="18"/>
              </w:rPr>
              <w:t>Director</w:t>
            </w:r>
          </w:p>
          <w:p w14:paraId="53740804"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Telecommunication Standardization Bureau</w:t>
            </w:r>
          </w:p>
          <w:p w14:paraId="2564737F" w14:textId="77777777" w:rsidR="006F003E" w:rsidRPr="00F221EE" w:rsidRDefault="006F003E" w:rsidP="00B7072C">
            <w:pPr>
              <w:pStyle w:val="BalloonText"/>
              <w:rPr>
                <w:rFonts w:asciiTheme="minorHAnsi" w:hAnsiTheme="minorHAnsi" w:cs="Times New Roman"/>
                <w:sz w:val="18"/>
                <w:szCs w:val="18"/>
              </w:rPr>
            </w:pPr>
            <w:r w:rsidRPr="00F221EE">
              <w:rPr>
                <w:rFonts w:asciiTheme="minorHAnsi" w:hAnsiTheme="minorHAnsi" w:cs="Times New Roman"/>
                <w:sz w:val="18"/>
                <w:szCs w:val="18"/>
              </w:rPr>
              <w:t>International Telecommunication Union</w:t>
            </w:r>
          </w:p>
          <w:p w14:paraId="19AF9426"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Place des Nations</w:t>
            </w:r>
          </w:p>
          <w:p w14:paraId="7FD33471"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CH</w:t>
            </w:r>
            <w:r w:rsidRPr="00F221EE">
              <w:rPr>
                <w:rFonts w:asciiTheme="minorHAnsi" w:hAnsiTheme="minorHAnsi" w:cs="Times New Roman"/>
                <w:sz w:val="18"/>
                <w:szCs w:val="18"/>
              </w:rPr>
              <w:noBreakHyphen/>
              <w:t>1211 Geneva 20,</w:t>
            </w:r>
          </w:p>
          <w:p w14:paraId="648FCD8E"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Switzerland</w:t>
            </w:r>
          </w:p>
          <w:p w14:paraId="7BCDC02F" w14:textId="77777777" w:rsidR="006F003E" w:rsidRPr="00F221EE" w:rsidRDefault="00F221E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Pr>
                <w:rFonts w:asciiTheme="minorHAnsi" w:hAnsiTheme="minorHAnsi" w:cs="Times New Roman"/>
                <w:sz w:val="18"/>
                <w:szCs w:val="18"/>
              </w:rPr>
              <w:t>Fax: +41 22 730 5853</w:t>
            </w:r>
          </w:p>
          <w:p w14:paraId="1F52D817" w14:textId="77777777" w:rsidR="006F003E" w:rsidRPr="00F221EE" w:rsidRDefault="006F003E" w:rsidP="00B7072C">
            <w:pPr>
              <w:pStyle w:val="BalloonText"/>
              <w:tabs>
                <w:tab w:val="bar" w:pos="-2552"/>
                <w:tab w:val="center" w:pos="-142"/>
                <w:tab w:val="left" w:pos="1440"/>
                <w:tab w:val="left" w:pos="3261"/>
                <w:tab w:val="decimal" w:pos="5103"/>
                <w:tab w:val="decimal" w:pos="5245"/>
              </w:tabs>
              <w:spacing w:line="240" w:lineRule="atLeast"/>
              <w:rPr>
                <w:rFonts w:asciiTheme="minorHAnsi" w:hAnsiTheme="minorHAnsi" w:cs="Times New Roman"/>
                <w:sz w:val="18"/>
                <w:szCs w:val="18"/>
              </w:rPr>
            </w:pPr>
            <w:r w:rsidRPr="00F221EE">
              <w:rPr>
                <w:rFonts w:asciiTheme="minorHAnsi" w:hAnsiTheme="minorHAnsi" w:cs="Times New Roman"/>
                <w:sz w:val="18"/>
                <w:szCs w:val="18"/>
              </w:rPr>
              <w:t xml:space="preserve">Email: </w:t>
            </w:r>
            <w:hyperlink r:id="rId12" w:history="1">
              <w:r w:rsidR="00F221EE" w:rsidRPr="00446E6D">
                <w:rPr>
                  <w:rStyle w:val="Hyperlink"/>
                  <w:rFonts w:asciiTheme="minorHAnsi" w:hAnsiTheme="minorHAnsi" w:cs="Times New Roman"/>
                  <w:sz w:val="18"/>
                  <w:szCs w:val="18"/>
                </w:rPr>
                <w:t>tsbdir@itu.int</w:t>
              </w:r>
            </w:hyperlink>
            <w:r w:rsidR="00F221EE">
              <w:rPr>
                <w:rFonts w:asciiTheme="minorHAnsi" w:hAnsiTheme="minorHAnsi" w:cs="Times New Roman"/>
                <w:sz w:val="18"/>
                <w:szCs w:val="18"/>
              </w:rPr>
              <w:t xml:space="preserve"> </w:t>
            </w:r>
          </w:p>
          <w:p w14:paraId="4838BE80" w14:textId="77777777" w:rsidR="006F003E" w:rsidRPr="00F221EE" w:rsidRDefault="006F003E" w:rsidP="00B7072C">
            <w:pPr>
              <w:pStyle w:val="BalloonText"/>
              <w:tabs>
                <w:tab w:val="bar" w:pos="-2552"/>
                <w:tab w:val="center" w:pos="-142"/>
                <w:tab w:val="left" w:pos="1440"/>
                <w:tab w:val="left" w:pos="3261"/>
                <w:tab w:val="decimal" w:pos="5103"/>
                <w:tab w:val="decimal" w:pos="5245"/>
              </w:tabs>
              <w:spacing w:line="240" w:lineRule="atLeast"/>
              <w:rPr>
                <w:rFonts w:asciiTheme="minorHAnsi" w:hAnsiTheme="minorHAnsi" w:cs="Times New Roman"/>
                <w:sz w:val="24"/>
                <w:szCs w:val="24"/>
              </w:rPr>
            </w:pPr>
          </w:p>
        </w:tc>
        <w:tc>
          <w:tcPr>
            <w:tcW w:w="4685" w:type="dxa"/>
            <w:gridSpan w:val="3"/>
            <w:tcBorders>
              <w:bottom w:val="single" w:sz="4" w:space="0" w:color="auto"/>
            </w:tcBorders>
          </w:tcPr>
          <w:p w14:paraId="43F10DAA"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Director</w:t>
            </w:r>
          </w:p>
          <w:p w14:paraId="11A61272"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Radiocommunication Bureau</w:t>
            </w:r>
          </w:p>
          <w:p w14:paraId="2B1E512B" w14:textId="77777777" w:rsidR="006F003E" w:rsidRPr="00F221EE" w:rsidRDefault="006F003E" w:rsidP="00B7072C">
            <w:pPr>
              <w:pStyle w:val="BalloonText"/>
              <w:rPr>
                <w:rFonts w:asciiTheme="minorHAnsi" w:hAnsiTheme="minorHAnsi" w:cs="Times New Roman"/>
                <w:sz w:val="18"/>
                <w:szCs w:val="18"/>
                <w:lang w:val="fr-CH"/>
              </w:rPr>
            </w:pPr>
            <w:r w:rsidRPr="00F221EE">
              <w:rPr>
                <w:rFonts w:asciiTheme="minorHAnsi" w:hAnsiTheme="minorHAnsi" w:cs="Times New Roman"/>
                <w:sz w:val="18"/>
                <w:szCs w:val="18"/>
                <w:lang w:val="fr-CH"/>
              </w:rPr>
              <w:t>International Telecommunication Union</w:t>
            </w:r>
          </w:p>
          <w:p w14:paraId="451CA979"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Place des Nations</w:t>
            </w:r>
          </w:p>
          <w:p w14:paraId="779E7267"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CH</w:t>
            </w:r>
            <w:r w:rsidRPr="00F221EE">
              <w:rPr>
                <w:rFonts w:asciiTheme="minorHAnsi" w:hAnsiTheme="minorHAnsi" w:cs="Times New Roman"/>
                <w:sz w:val="18"/>
                <w:szCs w:val="18"/>
              </w:rPr>
              <w:noBreakHyphen/>
              <w:t>1211 Geneva 20,</w:t>
            </w:r>
          </w:p>
          <w:p w14:paraId="1497C565"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Switzerland</w:t>
            </w:r>
          </w:p>
          <w:p w14:paraId="1D7C5D6E" w14:textId="77777777" w:rsidR="006F003E" w:rsidRPr="00F221EE" w:rsidRDefault="006F003E" w:rsidP="00B7072C">
            <w:pPr>
              <w:pStyle w:val="BalloonText"/>
              <w:rPr>
                <w:rFonts w:asciiTheme="minorHAnsi" w:hAnsiTheme="minorHAnsi" w:cs="Times New Roman"/>
                <w:sz w:val="18"/>
                <w:szCs w:val="18"/>
              </w:rPr>
            </w:pPr>
            <w:r w:rsidRPr="00F221EE">
              <w:rPr>
                <w:rFonts w:asciiTheme="minorHAnsi" w:hAnsiTheme="minorHAnsi" w:cs="Times New Roman"/>
                <w:sz w:val="18"/>
                <w:szCs w:val="18"/>
              </w:rPr>
              <w:t>Fax: +41 22 730 5785</w:t>
            </w:r>
          </w:p>
          <w:p w14:paraId="4718FF1B" w14:textId="77777777" w:rsidR="006F003E" w:rsidRPr="00F221EE" w:rsidRDefault="006F003E" w:rsidP="00F221EE">
            <w:pPr>
              <w:pStyle w:val="BalloonText"/>
              <w:rPr>
                <w:rFonts w:asciiTheme="minorHAnsi" w:hAnsiTheme="minorHAnsi" w:cs="Times New Roman"/>
                <w:sz w:val="18"/>
                <w:szCs w:val="18"/>
              </w:rPr>
            </w:pPr>
            <w:r w:rsidRPr="00F221EE">
              <w:rPr>
                <w:rFonts w:asciiTheme="minorHAnsi" w:hAnsiTheme="minorHAnsi" w:cs="Times New Roman"/>
                <w:sz w:val="18"/>
                <w:szCs w:val="18"/>
              </w:rPr>
              <w:t xml:space="preserve">Email: </w:t>
            </w:r>
            <w:hyperlink r:id="rId13" w:history="1">
              <w:r w:rsidR="00F221EE" w:rsidRPr="00F221EE">
                <w:rPr>
                  <w:rStyle w:val="Hyperlink"/>
                  <w:rFonts w:asciiTheme="minorHAnsi" w:hAnsiTheme="minorHAnsi" w:cs="Times New Roman"/>
                  <w:sz w:val="18"/>
                  <w:szCs w:val="18"/>
                </w:rPr>
                <w:t>brmail@itu.int</w:t>
              </w:r>
            </w:hyperlink>
          </w:p>
          <w:p w14:paraId="24FF86DA" w14:textId="77777777" w:rsidR="006F003E" w:rsidRPr="00F221EE" w:rsidRDefault="006F003E" w:rsidP="00B7072C">
            <w:pPr>
              <w:pStyle w:val="BalloonText"/>
              <w:rPr>
                <w:rFonts w:asciiTheme="minorHAnsi" w:hAnsiTheme="minorHAnsi" w:cs="Times New Roman"/>
                <w:sz w:val="24"/>
                <w:szCs w:val="24"/>
              </w:rPr>
            </w:pPr>
          </w:p>
        </w:tc>
      </w:tr>
      <w:tr w:rsidR="006F003E" w:rsidRPr="000B326C" w14:paraId="4B97120D"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bottom w:val="nil"/>
            </w:tcBorders>
          </w:tcPr>
          <w:p w14:paraId="659977D5" w14:textId="77777777" w:rsidR="006F003E" w:rsidRPr="000B326C" w:rsidRDefault="006F003E" w:rsidP="00B7072C">
            <w:pPr>
              <w:spacing w:before="100" w:beforeAutospacing="1" w:after="100" w:afterAutospacing="1"/>
            </w:pPr>
            <w:r w:rsidRPr="000B326C">
              <w:rPr>
                <w:b/>
                <w:bCs/>
              </w:rPr>
              <w:t>Patent Holder</w:t>
            </w:r>
            <w:r w:rsidRPr="000B326C">
              <w:t>:</w:t>
            </w:r>
          </w:p>
        </w:tc>
      </w:tr>
      <w:tr w:rsidR="006F003E" w:rsidRPr="000B326C" w14:paraId="243D1E2F"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7D9C573C" w14:textId="77777777" w:rsidR="006F003E" w:rsidRPr="000B326C" w:rsidRDefault="006F003E" w:rsidP="00B7072C">
            <w:pPr>
              <w:spacing w:before="100" w:beforeAutospacing="1" w:after="100" w:afterAutospacing="1"/>
            </w:pPr>
            <w:r w:rsidRPr="000B326C">
              <w:t>Legal Name</w:t>
            </w:r>
          </w:p>
        </w:tc>
        <w:tc>
          <w:tcPr>
            <w:tcW w:w="7094" w:type="dxa"/>
            <w:gridSpan w:val="3"/>
            <w:tcBorders>
              <w:top w:val="nil"/>
              <w:left w:val="nil"/>
              <w:right w:val="nil"/>
            </w:tcBorders>
          </w:tcPr>
          <w:p w14:paraId="71CB82D1" w14:textId="77777777" w:rsidR="006F003E" w:rsidRPr="000B326C" w:rsidRDefault="006F003E" w:rsidP="00B7072C">
            <w:pPr>
              <w:spacing w:before="100" w:beforeAutospacing="1" w:after="100" w:afterAutospacing="1"/>
            </w:pPr>
          </w:p>
        </w:tc>
        <w:tc>
          <w:tcPr>
            <w:tcW w:w="1010" w:type="dxa"/>
            <w:gridSpan w:val="2"/>
            <w:tcBorders>
              <w:top w:val="nil"/>
              <w:left w:val="nil"/>
              <w:bottom w:val="nil"/>
            </w:tcBorders>
          </w:tcPr>
          <w:p w14:paraId="27668D07" w14:textId="77777777" w:rsidR="006F003E" w:rsidRPr="000B326C" w:rsidRDefault="006F003E" w:rsidP="00B7072C">
            <w:pPr>
              <w:tabs>
                <w:tab w:val="right" w:pos="720"/>
              </w:tabs>
              <w:spacing w:before="100" w:beforeAutospacing="1" w:after="100" w:afterAutospacing="1"/>
            </w:pPr>
          </w:p>
        </w:tc>
      </w:tr>
      <w:tr w:rsidR="006F003E" w:rsidRPr="000B326C" w14:paraId="59B4EC91"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top w:val="nil"/>
              <w:bottom w:val="nil"/>
            </w:tcBorders>
          </w:tcPr>
          <w:p w14:paraId="57BBC657" w14:textId="77777777" w:rsidR="006F003E" w:rsidRPr="000B326C" w:rsidRDefault="006F003E" w:rsidP="00B7072C">
            <w:pPr>
              <w:spacing w:before="100" w:beforeAutospacing="1" w:after="100" w:afterAutospacing="1"/>
              <w:rPr>
                <w:b/>
                <w:bCs/>
              </w:rPr>
            </w:pPr>
            <w:r w:rsidRPr="000B326C">
              <w:rPr>
                <w:b/>
                <w:bCs/>
              </w:rPr>
              <w:t>Contact for license application:</w:t>
            </w:r>
          </w:p>
        </w:tc>
      </w:tr>
      <w:tr w:rsidR="006F003E" w:rsidRPr="000B326C" w14:paraId="13E8B659"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CE46546" w14:textId="77777777" w:rsidR="006F003E" w:rsidRPr="000B326C" w:rsidRDefault="006F003E" w:rsidP="00B7072C">
            <w:pPr>
              <w:spacing w:before="100" w:beforeAutospacing="1" w:after="100" w:afterAutospacing="1"/>
            </w:pPr>
            <w:r w:rsidRPr="000B326C">
              <w:t>Name &amp; Department</w:t>
            </w:r>
          </w:p>
        </w:tc>
        <w:tc>
          <w:tcPr>
            <w:tcW w:w="7071" w:type="dxa"/>
            <w:gridSpan w:val="2"/>
            <w:tcBorders>
              <w:top w:val="nil"/>
              <w:left w:val="nil"/>
              <w:right w:val="nil"/>
            </w:tcBorders>
          </w:tcPr>
          <w:p w14:paraId="310DE5CE"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7D35CC3A" w14:textId="77777777" w:rsidR="006F003E" w:rsidRPr="000B326C" w:rsidRDefault="006F003E" w:rsidP="00B7072C">
            <w:pPr>
              <w:spacing w:before="100" w:beforeAutospacing="1" w:after="100" w:afterAutospacing="1"/>
              <w:rPr>
                <w:b/>
              </w:rPr>
            </w:pPr>
          </w:p>
        </w:tc>
      </w:tr>
      <w:tr w:rsidR="006F003E" w:rsidRPr="000B326C" w14:paraId="7EC5F022"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61A82FC0" w14:textId="77777777" w:rsidR="006F003E" w:rsidRPr="000B326C" w:rsidRDefault="006F003E" w:rsidP="00B7072C">
            <w:pPr>
              <w:spacing w:before="100" w:beforeAutospacing="1" w:after="100" w:afterAutospacing="1"/>
            </w:pPr>
            <w:r w:rsidRPr="000B326C">
              <w:t>Address</w:t>
            </w:r>
          </w:p>
        </w:tc>
        <w:tc>
          <w:tcPr>
            <w:tcW w:w="7071" w:type="dxa"/>
            <w:gridSpan w:val="2"/>
            <w:tcBorders>
              <w:left w:val="nil"/>
              <w:right w:val="nil"/>
            </w:tcBorders>
          </w:tcPr>
          <w:p w14:paraId="0C3CB42A"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0FD879D1" w14:textId="77777777" w:rsidR="006F003E" w:rsidRPr="000B326C" w:rsidRDefault="006F003E" w:rsidP="00B7072C">
            <w:pPr>
              <w:spacing w:before="100" w:beforeAutospacing="1" w:after="100" w:afterAutospacing="1"/>
              <w:rPr>
                <w:b/>
              </w:rPr>
            </w:pPr>
          </w:p>
        </w:tc>
      </w:tr>
      <w:tr w:rsidR="006F003E" w:rsidRPr="000B326C" w14:paraId="52485620"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A9A44D0" w14:textId="77777777" w:rsidR="006F003E" w:rsidRPr="000B326C" w:rsidRDefault="006F003E" w:rsidP="00B7072C">
            <w:pPr>
              <w:spacing w:before="100" w:beforeAutospacing="1" w:after="100" w:afterAutospacing="1"/>
            </w:pPr>
          </w:p>
        </w:tc>
        <w:tc>
          <w:tcPr>
            <w:tcW w:w="7071" w:type="dxa"/>
            <w:gridSpan w:val="2"/>
            <w:tcBorders>
              <w:left w:val="nil"/>
              <w:right w:val="nil"/>
            </w:tcBorders>
          </w:tcPr>
          <w:p w14:paraId="5B4E87CC"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6EBC8BB3" w14:textId="77777777" w:rsidR="006F003E" w:rsidRPr="000B326C" w:rsidRDefault="006F003E" w:rsidP="00B7072C">
            <w:pPr>
              <w:spacing w:before="100" w:beforeAutospacing="1" w:after="100" w:afterAutospacing="1"/>
              <w:rPr>
                <w:b/>
              </w:rPr>
            </w:pPr>
          </w:p>
        </w:tc>
      </w:tr>
      <w:tr w:rsidR="006F003E" w:rsidRPr="000B326C" w14:paraId="2F4D3D42"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3C1CEC75" w14:textId="77777777" w:rsidR="006F003E" w:rsidRPr="000B326C" w:rsidRDefault="006F003E" w:rsidP="00B7072C">
            <w:pPr>
              <w:spacing w:before="100" w:beforeAutospacing="1" w:after="100" w:afterAutospacing="1"/>
            </w:pPr>
            <w:r w:rsidRPr="000B326C">
              <w:t>Tel.</w:t>
            </w:r>
          </w:p>
        </w:tc>
        <w:tc>
          <w:tcPr>
            <w:tcW w:w="7071" w:type="dxa"/>
            <w:gridSpan w:val="2"/>
            <w:tcBorders>
              <w:left w:val="nil"/>
              <w:right w:val="nil"/>
            </w:tcBorders>
          </w:tcPr>
          <w:p w14:paraId="3CA80E62"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163CA331" w14:textId="77777777" w:rsidR="006F003E" w:rsidRPr="000B326C" w:rsidRDefault="006F003E" w:rsidP="00B7072C">
            <w:pPr>
              <w:spacing w:before="100" w:beforeAutospacing="1" w:after="100" w:afterAutospacing="1"/>
              <w:rPr>
                <w:b/>
              </w:rPr>
            </w:pPr>
          </w:p>
        </w:tc>
      </w:tr>
      <w:tr w:rsidR="006F003E" w:rsidRPr="000B326C" w14:paraId="2C599E04"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4133D821" w14:textId="77777777" w:rsidR="006F003E" w:rsidRPr="000B326C" w:rsidRDefault="006F003E" w:rsidP="00B7072C">
            <w:pPr>
              <w:spacing w:before="100" w:beforeAutospacing="1" w:after="100" w:afterAutospacing="1"/>
            </w:pPr>
            <w:r w:rsidRPr="000B326C">
              <w:t>Fax</w:t>
            </w:r>
          </w:p>
        </w:tc>
        <w:tc>
          <w:tcPr>
            <w:tcW w:w="7071" w:type="dxa"/>
            <w:gridSpan w:val="2"/>
            <w:tcBorders>
              <w:left w:val="nil"/>
              <w:right w:val="nil"/>
            </w:tcBorders>
          </w:tcPr>
          <w:p w14:paraId="7CF74AF1"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36030167" w14:textId="77777777" w:rsidR="006F003E" w:rsidRPr="000B326C" w:rsidRDefault="006F003E" w:rsidP="00B7072C">
            <w:pPr>
              <w:spacing w:before="100" w:beforeAutospacing="1" w:after="100" w:afterAutospacing="1"/>
              <w:rPr>
                <w:b/>
              </w:rPr>
            </w:pPr>
          </w:p>
        </w:tc>
      </w:tr>
      <w:tr w:rsidR="006F003E" w:rsidRPr="000B326C" w14:paraId="278D0DFE"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50FD1E1" w14:textId="77777777" w:rsidR="006F003E" w:rsidRPr="000B326C" w:rsidRDefault="006F003E" w:rsidP="00B7072C">
            <w:pPr>
              <w:spacing w:before="100" w:beforeAutospacing="1" w:after="100" w:afterAutospacing="1"/>
            </w:pPr>
            <w:r w:rsidRPr="000B326C">
              <w:t>E</w:t>
            </w:r>
            <w:r w:rsidRPr="000B326C">
              <w:noBreakHyphen/>
              <w:t>mail</w:t>
            </w:r>
          </w:p>
        </w:tc>
        <w:tc>
          <w:tcPr>
            <w:tcW w:w="7071" w:type="dxa"/>
            <w:gridSpan w:val="2"/>
            <w:tcBorders>
              <w:left w:val="nil"/>
              <w:right w:val="nil"/>
            </w:tcBorders>
          </w:tcPr>
          <w:p w14:paraId="4AF350B9"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736C9495" w14:textId="77777777" w:rsidR="006F003E" w:rsidRPr="000B326C" w:rsidRDefault="006F003E" w:rsidP="00B7072C">
            <w:pPr>
              <w:spacing w:before="100" w:beforeAutospacing="1" w:after="100" w:afterAutospacing="1"/>
              <w:rPr>
                <w:b/>
              </w:rPr>
            </w:pPr>
          </w:p>
        </w:tc>
      </w:tr>
      <w:tr w:rsidR="006F003E" w:rsidRPr="000B326C" w14:paraId="4D079673"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695E9878" w14:textId="77777777" w:rsidR="006F003E" w:rsidRPr="000B326C" w:rsidRDefault="006F003E" w:rsidP="00B7072C">
            <w:pPr>
              <w:spacing w:before="100" w:beforeAutospacing="1" w:after="100" w:afterAutospacing="1"/>
              <w:rPr>
                <w:bCs/>
              </w:rPr>
            </w:pPr>
            <w:r w:rsidRPr="000B326C">
              <w:rPr>
                <w:bCs/>
              </w:rPr>
              <w:t>URL (optional)</w:t>
            </w:r>
          </w:p>
        </w:tc>
        <w:tc>
          <w:tcPr>
            <w:tcW w:w="7071" w:type="dxa"/>
            <w:gridSpan w:val="2"/>
            <w:tcBorders>
              <w:left w:val="nil"/>
              <w:right w:val="nil"/>
            </w:tcBorders>
          </w:tcPr>
          <w:p w14:paraId="6D0C3392"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08234B2C" w14:textId="77777777" w:rsidR="006F003E" w:rsidRPr="000B326C" w:rsidRDefault="006F003E" w:rsidP="00B7072C">
            <w:pPr>
              <w:spacing w:before="100" w:beforeAutospacing="1" w:after="100" w:afterAutospacing="1"/>
              <w:rPr>
                <w:b/>
              </w:rPr>
            </w:pPr>
          </w:p>
        </w:tc>
      </w:tr>
      <w:tr w:rsidR="006F003E" w:rsidRPr="000B326C" w14:paraId="4A786E13"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top w:val="nil"/>
              <w:bottom w:val="nil"/>
            </w:tcBorders>
          </w:tcPr>
          <w:p w14:paraId="37238DD9" w14:textId="77777777" w:rsidR="006F003E" w:rsidRPr="000B326C" w:rsidRDefault="006F003E" w:rsidP="00B7072C">
            <w:pPr>
              <w:spacing w:before="100" w:beforeAutospacing="1" w:after="120"/>
              <w:rPr>
                <w:b/>
                <w:bCs/>
              </w:rPr>
            </w:pPr>
            <w:r w:rsidRPr="000B326C">
              <w:rPr>
                <w:b/>
                <w:bCs/>
              </w:rPr>
              <w:t>Licensing declaration:</w:t>
            </w:r>
          </w:p>
          <w:p w14:paraId="6A059007" w14:textId="77777777" w:rsidR="006F003E" w:rsidRDefault="006F003E" w:rsidP="00057508">
            <w:r w:rsidRPr="000B326C">
              <w:t>In case part(s) or all of any proposals contained in Contributions submitted by the Patent Holder above are included in ITU</w:t>
            </w:r>
            <w:r w:rsidRPr="000B326C">
              <w:noBreakHyphen/>
              <w:t>T/ITU</w:t>
            </w:r>
            <w:r w:rsidRPr="000B326C">
              <w:noBreakHyphen/>
              <w:t xml:space="preserve">R Recommendation(s) and the included part(s) contain items for which Patents have been filed and whose use would be required to implement ITU-T/ITU-R Recommendation(s), the above Patent Holder hereby declares, in accordance with the Common Patent Policy for ITU-T/ITU-R/ISO/IEC (check </w:t>
            </w:r>
            <w:r w:rsidRPr="000B326C">
              <w:rPr>
                <w:u w:val="single"/>
              </w:rPr>
              <w:t>one</w:t>
            </w:r>
            <w:r w:rsidRPr="000B326C">
              <w:t xml:space="preserve"> box only):</w:t>
            </w:r>
          </w:p>
          <w:p w14:paraId="72734058" w14:textId="77777777" w:rsidR="00057508" w:rsidRPr="00057508" w:rsidRDefault="00057508" w:rsidP="00057508"/>
        </w:tc>
      </w:tr>
      <w:tr w:rsidR="006F003E" w:rsidRPr="000B326C" w14:paraId="75B6FB1F"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08" w:type="dxa"/>
            <w:gridSpan w:val="2"/>
            <w:tcBorders>
              <w:top w:val="nil"/>
              <w:bottom w:val="single" w:sz="4" w:space="0" w:color="auto"/>
              <w:right w:val="nil"/>
            </w:tcBorders>
          </w:tcPr>
          <w:p w14:paraId="09239D5B" w14:textId="77777777" w:rsidR="006F003E" w:rsidRPr="000B326C" w:rsidRDefault="006F003E" w:rsidP="00B7072C">
            <w:pPr>
              <w:spacing w:before="100" w:beforeAutospacing="1" w:after="100" w:afterAutospacing="1"/>
              <w:rPr>
                <w:b/>
              </w:rPr>
            </w:pPr>
            <w:r w:rsidRPr="000B326C">
              <w:rPr>
                <w:b/>
                <w:noProof/>
                <w:lang w:eastAsia="zh-CN"/>
              </w:rPr>
              <w:drawing>
                <wp:inline distT="0" distB="0" distL="0" distR="0" wp14:anchorId="32CD75DD" wp14:editId="0F2F61D3">
                  <wp:extent cx="226695" cy="210185"/>
                  <wp:effectExtent l="19050" t="19050" r="20955" b="18415"/>
                  <wp:docPr id="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226695" cy="210185"/>
                          </a:xfrm>
                          <a:prstGeom prst="rect">
                            <a:avLst/>
                          </a:prstGeom>
                          <a:noFill/>
                          <a:ln w="19050" cmpd="sng">
                            <a:solidFill>
                              <a:srgbClr val="000000"/>
                            </a:solidFill>
                            <a:miter lim="800000"/>
                            <a:headEnd/>
                            <a:tailEnd/>
                          </a:ln>
                          <a:effectLst/>
                        </pic:spPr>
                      </pic:pic>
                    </a:graphicData>
                  </a:graphic>
                </wp:inline>
              </w:drawing>
            </w:r>
          </w:p>
        </w:tc>
        <w:tc>
          <w:tcPr>
            <w:tcW w:w="9173" w:type="dxa"/>
            <w:gridSpan w:val="6"/>
            <w:tcBorders>
              <w:top w:val="nil"/>
              <w:left w:val="nil"/>
              <w:bottom w:val="single" w:sz="4" w:space="0" w:color="auto"/>
            </w:tcBorders>
          </w:tcPr>
          <w:p w14:paraId="3658665B" w14:textId="77777777" w:rsidR="006F003E" w:rsidRPr="000B326C" w:rsidRDefault="006F003E" w:rsidP="00B7072C">
            <w:pPr>
              <w:spacing w:before="100" w:beforeAutospacing="1" w:after="100" w:afterAutospacing="1"/>
            </w:pPr>
            <w:r w:rsidRPr="000B326C">
              <w:t>1.</w:t>
            </w:r>
            <w:r w:rsidRPr="000B326C">
              <w:tab/>
              <w:t xml:space="preserve">The Patent Holder is prepared to grant a </w:t>
            </w:r>
            <w:r w:rsidRPr="000B326C">
              <w:rPr>
                <w:u w:val="single"/>
              </w:rPr>
              <w:t>Free of Charge</w:t>
            </w:r>
            <w:r w:rsidRPr="000B326C">
              <w:t xml:space="preserve"> license to an unrestricted number of applicants on a worldwide, non-discriminatory basis and under other reasonable terms and conditions to make, use, and sell implementations of the relevant ITU-T/ITU-R Recommendation.</w:t>
            </w:r>
          </w:p>
          <w:p w14:paraId="785B70AB" w14:textId="77777777" w:rsidR="006F003E" w:rsidRPr="000B326C" w:rsidRDefault="006F003E" w:rsidP="00B7072C">
            <w:pPr>
              <w:spacing w:before="100" w:beforeAutospacing="1" w:after="100" w:afterAutospacing="1"/>
            </w:pPr>
            <w:r w:rsidRPr="000B326C">
              <w:t>Negotiations are left to the parties concerned and are performed outside the ITU-T/ITU-R.</w:t>
            </w:r>
          </w:p>
          <w:p w14:paraId="66FE587D" w14:textId="77777777" w:rsidR="006F003E" w:rsidRPr="000B326C" w:rsidRDefault="006F003E" w:rsidP="00B7072C">
            <w:pPr>
              <w:pStyle w:val="BodyText3"/>
              <w:spacing w:before="100" w:beforeAutospacing="1" w:after="100" w:afterAutospacing="1"/>
              <w:rPr>
                <w:i/>
                <w:iCs/>
                <w:sz w:val="22"/>
                <w:szCs w:val="22"/>
              </w:rPr>
            </w:pPr>
            <w:r w:rsidRPr="000B326C">
              <w:rPr>
                <w:i/>
                <w:iCs/>
                <w:sz w:val="22"/>
                <w:szCs w:val="22"/>
              </w:rPr>
              <w:t>Also mark here __ if the Patent Holder</w:t>
            </w:r>
            <w:r w:rsidRPr="00943CB5">
              <w:rPr>
                <w:i/>
                <w:iCs/>
                <w:sz w:val="22"/>
                <w:szCs w:val="22"/>
              </w:rPr>
              <w:t>'</w:t>
            </w:r>
            <w:r w:rsidRPr="000B326C">
              <w:rPr>
                <w:i/>
                <w:iCs/>
                <w:sz w:val="22"/>
                <w:szCs w:val="22"/>
              </w:rPr>
              <w:t xml:space="preserve">s willingness to license is conditioned on </w:t>
            </w:r>
            <w:r w:rsidRPr="000B326C">
              <w:rPr>
                <w:i/>
                <w:iCs/>
                <w:sz w:val="22"/>
                <w:szCs w:val="22"/>
                <w:u w:val="single"/>
              </w:rPr>
              <w:t>Reciprocity</w:t>
            </w:r>
            <w:r w:rsidRPr="000B326C">
              <w:rPr>
                <w:i/>
                <w:iCs/>
                <w:sz w:val="22"/>
                <w:szCs w:val="22"/>
              </w:rPr>
              <w:t xml:space="preserve"> for the above ITU-T/ITU-R Recommendation.</w:t>
            </w:r>
          </w:p>
          <w:p w14:paraId="4695A3BA" w14:textId="2BEB4BC4" w:rsidR="006F003E" w:rsidRPr="000B326C" w:rsidRDefault="006F003E" w:rsidP="00B7072C">
            <w:pPr>
              <w:spacing w:before="100" w:beforeAutospacing="1" w:after="100" w:afterAutospacing="1"/>
              <w:ind w:left="424"/>
              <w:rPr>
                <w:b/>
              </w:rPr>
            </w:pPr>
            <w:r w:rsidRPr="000B326C">
              <w:rPr>
                <w:i/>
                <w:iCs/>
                <w:color w:val="000000"/>
              </w:rPr>
              <w:t xml:space="preserve">Also mark here __ if the Patent Holder reserves the right to license on reasonable terms and conditions (but not </w:t>
            </w:r>
            <w:r w:rsidRPr="000B326C">
              <w:rPr>
                <w:i/>
                <w:iCs/>
                <w:color w:val="000000"/>
                <w:u w:val="single"/>
              </w:rPr>
              <w:t>Free of Charge</w:t>
            </w:r>
            <w:r w:rsidRPr="000B326C">
              <w:rPr>
                <w:i/>
                <w:iCs/>
                <w:color w:val="000000"/>
              </w:rPr>
              <w:t xml:space="preserve">) to applicants who are only willing to license their patent </w:t>
            </w:r>
            <w:r w:rsidRPr="000B326C">
              <w:rPr>
                <w:i/>
                <w:iCs/>
                <w:color w:val="000000"/>
              </w:rPr>
              <w:lastRenderedPageBreak/>
              <w:t xml:space="preserve">claims, whose use would be required to implement the above </w:t>
            </w:r>
            <w:r w:rsidRPr="000B326C">
              <w:rPr>
                <w:i/>
                <w:iCs/>
              </w:rPr>
              <w:t>ITU-T/ITU-R Recommendation</w:t>
            </w:r>
            <w:r w:rsidRPr="000B326C">
              <w:rPr>
                <w:i/>
                <w:iCs/>
                <w:color w:val="000000"/>
              </w:rPr>
              <w:t xml:space="preserve">, on reasonable terms and conditions (but not </w:t>
            </w:r>
            <w:r w:rsidRPr="000B326C">
              <w:rPr>
                <w:i/>
                <w:iCs/>
                <w:color w:val="000000"/>
                <w:u w:val="single"/>
              </w:rPr>
              <w:t>Free of Charge</w:t>
            </w:r>
            <w:r w:rsidRPr="000B326C">
              <w:rPr>
                <w:i/>
                <w:iCs/>
                <w:color w:val="000000"/>
              </w:rPr>
              <w:t>).</w:t>
            </w:r>
          </w:p>
        </w:tc>
      </w:tr>
    </w:tbl>
    <w:p w14:paraId="07CCCB54" w14:textId="77777777" w:rsidR="006F003E" w:rsidRPr="000B326C" w:rsidRDefault="006F003E" w:rsidP="006F003E"/>
    <w:tbl>
      <w:tblPr>
        <w:tblW w:w="100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1792"/>
        <w:gridCol w:w="6348"/>
        <w:gridCol w:w="1033"/>
      </w:tblGrid>
      <w:tr w:rsidR="006F003E" w:rsidRPr="000B326C" w14:paraId="27CDDFD4" w14:textId="77777777" w:rsidTr="00B7072C">
        <w:tc>
          <w:tcPr>
            <w:tcW w:w="908" w:type="dxa"/>
            <w:tcBorders>
              <w:top w:val="single" w:sz="4" w:space="0" w:color="auto"/>
              <w:bottom w:val="single" w:sz="4" w:space="0" w:color="auto"/>
              <w:right w:val="nil"/>
            </w:tcBorders>
          </w:tcPr>
          <w:p w14:paraId="56A0FAC1" w14:textId="4FFC849D" w:rsidR="006F003E" w:rsidRPr="000B326C" w:rsidRDefault="00F36740" w:rsidP="00B7072C">
            <w:pPr>
              <w:spacing w:before="100" w:beforeAutospacing="1" w:after="100" w:afterAutospacing="1"/>
              <w:rPr>
                <w:b/>
              </w:rPr>
            </w:pPr>
            <w:r w:rsidRPr="000B326C">
              <w:rPr>
                <w:b/>
                <w:noProof/>
                <w:lang w:eastAsia="zh-CN"/>
              </w:rPr>
              <w:drawing>
                <wp:inline distT="0" distB="0" distL="0" distR="0" wp14:anchorId="0A9DF1E9" wp14:editId="68561E4E">
                  <wp:extent cx="226695" cy="210185"/>
                  <wp:effectExtent l="19050" t="19050" r="20955" b="18415"/>
                  <wp:docPr id="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srcRect/>
                          <a:stretch>
                            <a:fillRect/>
                          </a:stretch>
                        </pic:blipFill>
                        <pic:spPr bwMode="auto">
                          <a:xfrm>
                            <a:off x="0" y="0"/>
                            <a:ext cx="226695" cy="21018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78C0A284" w14:textId="77777777" w:rsidR="006F003E" w:rsidRPr="000B326C" w:rsidRDefault="006F003E" w:rsidP="00B7072C">
            <w:pPr>
              <w:spacing w:before="100" w:beforeAutospacing="1" w:after="100" w:afterAutospacing="1"/>
            </w:pPr>
            <w:r w:rsidRPr="000B326C">
              <w:t>2.</w:t>
            </w:r>
            <w:r w:rsidRPr="000B326C">
              <w:tab/>
              <w:t>The Patent Holder is prepared to grant a license to an unrestricted number of applicants on a worldwide, non-discriminatory basis and on reasonable terms and conditions to make, use and sell implementations of the relevant ITU-T/ITU-R Recommendation.</w:t>
            </w:r>
          </w:p>
          <w:p w14:paraId="11278B15" w14:textId="77777777" w:rsidR="006F003E" w:rsidRPr="000B326C" w:rsidRDefault="006F003E" w:rsidP="00B7072C">
            <w:pPr>
              <w:spacing w:before="100" w:beforeAutospacing="1" w:after="100" w:afterAutospacing="1"/>
            </w:pPr>
            <w:r w:rsidRPr="000B326C">
              <w:t>Negotiations are left to the parties concerned and are performed outside the ITU-T/ITU-R.</w:t>
            </w:r>
          </w:p>
          <w:p w14:paraId="350F521D" w14:textId="77777777" w:rsidR="006F003E" w:rsidRPr="000B326C" w:rsidRDefault="006F003E" w:rsidP="00B7072C">
            <w:pPr>
              <w:spacing w:before="100" w:beforeAutospacing="1" w:after="100" w:afterAutospacing="1"/>
            </w:pPr>
            <w:r w:rsidRPr="000B326C">
              <w:rPr>
                <w:i/>
                <w:iCs/>
              </w:rPr>
              <w:t>Also mark here __ if the Patent Holder</w:t>
            </w:r>
            <w:r w:rsidRPr="00943CB5">
              <w:rPr>
                <w:i/>
                <w:iCs/>
              </w:rPr>
              <w:t>'</w:t>
            </w:r>
            <w:r w:rsidRPr="000B326C">
              <w:rPr>
                <w:i/>
                <w:iCs/>
              </w:rPr>
              <w:t xml:space="preserve">s willingness to license is conditioned on </w:t>
            </w:r>
            <w:r w:rsidRPr="000B326C">
              <w:rPr>
                <w:i/>
                <w:iCs/>
                <w:u w:val="single"/>
              </w:rPr>
              <w:t>Reciprocity</w:t>
            </w:r>
            <w:r w:rsidRPr="000B326C">
              <w:rPr>
                <w:i/>
                <w:iCs/>
              </w:rPr>
              <w:t xml:space="preserve"> for the above ITU-T/ITU-R Recommendation.</w:t>
            </w:r>
          </w:p>
        </w:tc>
      </w:tr>
      <w:tr w:rsidR="00F36740" w:rsidRPr="000B326C" w14:paraId="33F14C53" w14:textId="77777777" w:rsidTr="00B7072C">
        <w:tc>
          <w:tcPr>
            <w:tcW w:w="908" w:type="dxa"/>
            <w:tcBorders>
              <w:top w:val="single" w:sz="4" w:space="0" w:color="auto"/>
              <w:bottom w:val="single" w:sz="4" w:space="0" w:color="auto"/>
              <w:right w:val="nil"/>
            </w:tcBorders>
          </w:tcPr>
          <w:p w14:paraId="46D0A2AC" w14:textId="0B97C2D0" w:rsidR="00F36740" w:rsidRPr="000B326C" w:rsidRDefault="00E137CB" w:rsidP="00B7072C">
            <w:pPr>
              <w:spacing w:before="100" w:beforeAutospacing="1" w:after="100" w:afterAutospacing="1"/>
              <w:rPr>
                <w:b/>
                <w:noProof/>
                <w:lang w:eastAsia="zh-CN"/>
              </w:rPr>
            </w:pPr>
            <w:r>
              <w:rPr>
                <w:b/>
                <w:noProof/>
                <w:lang w:eastAsia="zh-CN"/>
              </w:rPr>
              <mc:AlternateContent>
                <mc:Choice Requires="wps">
                  <w:drawing>
                    <wp:anchor distT="0" distB="0" distL="114300" distR="114300" simplePos="0" relativeHeight="251659264" behindDoc="0" locked="0" layoutInCell="1" allowOverlap="1" wp14:anchorId="372C0ADB" wp14:editId="16B99F3D">
                      <wp:simplePos x="0" y="0"/>
                      <wp:positionH relativeFrom="column">
                        <wp:posOffset>40640</wp:posOffset>
                      </wp:positionH>
                      <wp:positionV relativeFrom="paragraph">
                        <wp:posOffset>19685</wp:posOffset>
                      </wp:positionV>
                      <wp:extent cx="230505" cy="220980"/>
                      <wp:effectExtent l="0" t="0" r="17145" b="26670"/>
                      <wp:wrapNone/>
                      <wp:docPr id="2" name="Frame 2"/>
                      <wp:cNvGraphicFramePr/>
                      <a:graphic xmlns:a="http://schemas.openxmlformats.org/drawingml/2006/main">
                        <a:graphicData uri="http://schemas.microsoft.com/office/word/2010/wordprocessingShape">
                          <wps:wsp>
                            <wps:cNvSpPr/>
                            <wps:spPr>
                              <a:xfrm>
                                <a:off x="0" y="0"/>
                                <a:ext cx="230505" cy="220980"/>
                              </a:xfrm>
                              <a:prstGeom prst="frame">
                                <a:avLst/>
                              </a:prstGeom>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154A0" id="Frame 2" o:spid="_x0000_s1026" style="position:absolute;margin-left:3.2pt;margin-top:1.55pt;width:18.15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505,22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" path="m,l230505,r,220980l,220980,,xm27623,27623r,165735l202883,193358r,-165735l27623,27623xe" fillcolor="#4f81bd [3204]" strokecolor="black [3213]" strokeweight="1pt">
                      <v:path arrowok="t" o:connecttype="custom" o:connectlocs="0,0;230505,0;230505,220980;0,220980;0,0;27623,27623;27623,193358;202883,193358;202883,27623;27623,27623" o:connectangles="0,0,0,0,0,0,0,0,0,0"/>
                    </v:shape>
                  </w:pict>
                </mc:Fallback>
              </mc:AlternateContent>
            </w:r>
          </w:p>
        </w:tc>
        <w:tc>
          <w:tcPr>
            <w:tcW w:w="9173" w:type="dxa"/>
            <w:gridSpan w:val="3"/>
            <w:tcBorders>
              <w:top w:val="single" w:sz="4" w:space="0" w:color="auto"/>
              <w:left w:val="nil"/>
              <w:bottom w:val="single" w:sz="4" w:space="0" w:color="auto"/>
            </w:tcBorders>
          </w:tcPr>
          <w:p w14:paraId="556885FC" w14:textId="77777777" w:rsidR="00F36740" w:rsidRDefault="00F36740" w:rsidP="00F36740">
            <w:pPr>
              <w:spacing w:before="100" w:beforeAutospacing="1" w:after="100" w:afterAutospacing="1"/>
            </w:pPr>
            <w:r>
              <w:t>3</w:t>
            </w:r>
            <w:r w:rsidRPr="000B326C">
              <w:t>.</w:t>
            </w:r>
            <w:r w:rsidRPr="000B326C">
              <w:tab/>
            </w:r>
            <w:r w:rsidRPr="00F36740">
              <w:t xml:space="preserve">The </w:t>
            </w:r>
            <w:r>
              <w:t xml:space="preserve">Proponent </w:t>
            </w:r>
            <w:r w:rsidRPr="00F36740">
              <w:t>does not hold any patents</w:t>
            </w:r>
            <w:r>
              <w:t>.</w:t>
            </w:r>
          </w:p>
          <w:p w14:paraId="4CFD7EAB" w14:textId="055628D1" w:rsidR="00F36740" w:rsidRPr="000B326C" w:rsidRDefault="00F36740" w:rsidP="00F36740">
            <w:pPr>
              <w:spacing w:before="100" w:beforeAutospacing="1" w:after="100" w:afterAutospacing="1"/>
            </w:pPr>
          </w:p>
        </w:tc>
      </w:tr>
      <w:tr w:rsidR="006F003E" w:rsidRPr="000B326C" w14:paraId="25738687" w14:textId="77777777" w:rsidTr="00B7072C">
        <w:trPr>
          <w:trHeight w:val="276"/>
        </w:trPr>
        <w:tc>
          <w:tcPr>
            <w:tcW w:w="10081" w:type="dxa"/>
            <w:gridSpan w:val="4"/>
            <w:tcBorders>
              <w:top w:val="single" w:sz="4" w:space="0" w:color="auto"/>
              <w:bottom w:val="single" w:sz="4" w:space="0" w:color="auto"/>
            </w:tcBorders>
          </w:tcPr>
          <w:p w14:paraId="201091D3" w14:textId="77777777" w:rsidR="006F003E" w:rsidRPr="000B326C" w:rsidRDefault="006F003E" w:rsidP="00F221EE">
            <w:pPr>
              <w:spacing w:before="100" w:beforeAutospacing="1" w:after="100" w:afterAutospacing="1"/>
            </w:pPr>
            <w:r w:rsidRPr="000B326C">
              <w:rPr>
                <w:u w:val="single"/>
              </w:rPr>
              <w:t>Free</w:t>
            </w:r>
            <w:r w:rsidRPr="000B326C">
              <w:rPr>
                <w:u w:val="single"/>
                <w:lang w:eastAsia="ja-JP"/>
              </w:rPr>
              <w:t xml:space="preserve"> of Charge</w:t>
            </w:r>
            <w:r w:rsidR="00F221EE">
              <w:t xml:space="preserve">: </w:t>
            </w:r>
            <w:r w:rsidRPr="000B326C">
              <w:t xml:space="preserve">The words "Free of Charge" do not mean that the Patent Holder is waiving </w:t>
            </w:r>
            <w:proofErr w:type="gramStart"/>
            <w:r w:rsidRPr="000B326C">
              <w:t>all of</w:t>
            </w:r>
            <w:proofErr w:type="gramEnd"/>
            <w:r w:rsidRPr="000B326C">
              <w:t xml:space="preserve"> its rights with respect to the Patent. Rather, "Free of Charge" refers to the issue of monetary </w:t>
            </w:r>
            <w:proofErr w:type="gramStart"/>
            <w:r w:rsidRPr="000B326C">
              <w:t>compensation;</w:t>
            </w:r>
            <w:proofErr w:type="gramEnd"/>
            <w:r w:rsidRPr="000B326C">
              <w:t xml:space="preserve"> </w:t>
            </w:r>
            <w:r w:rsidRPr="000B326C">
              <w:rPr>
                <w:i/>
              </w:rPr>
              <w:t>i.e.</w:t>
            </w:r>
            <w:r w:rsidRPr="000B326C">
              <w:t>, that the Patent Holder will not seek any monetary compensation as part of the licensing arrangement (whether such compensation is called a royalty, a</w:t>
            </w:r>
            <w:r w:rsidR="00F221EE">
              <w:t xml:space="preserve"> one-time licensing fee, etc.).</w:t>
            </w:r>
            <w:r w:rsidRPr="000B326C">
              <w:t xml:space="preserve"> However, while the Patent Holder in this situation is committing to not charging any monetary amount, the Patent Holder is still entitled to require that the implementer of the relevant ITU-T/ITU-R Recommendation sign a license agreement that contains other reasonable terms and conditions such as those relating to governing law, field of use, warranties, etc.</w:t>
            </w:r>
          </w:p>
          <w:p w14:paraId="36B6FBE8" w14:textId="77777777" w:rsidR="006F003E" w:rsidRPr="000B326C" w:rsidRDefault="006F003E" w:rsidP="00B7072C">
            <w:pPr>
              <w:spacing w:before="100" w:beforeAutospacing="1" w:after="100" w:afterAutospacing="1"/>
            </w:pPr>
            <w:r w:rsidRPr="000B326C">
              <w:rPr>
                <w:u w:val="single"/>
              </w:rPr>
              <w:t>Reciprocity</w:t>
            </w:r>
            <w:r w:rsidR="00F221EE">
              <w:t xml:space="preserve">: </w:t>
            </w:r>
            <w:r w:rsidRPr="000B326C">
              <w:t>The word "Reciprocity" means that the Patent Holder shall only be required to license any prospective licensee if such prospective licensee will commit to license its Patent(s) for implementation of the relevant ITU-T/ITU-R Recommendation Free of Charge or under reasonable terms and conditions.</w:t>
            </w:r>
          </w:p>
          <w:p w14:paraId="24EACC39" w14:textId="7CC671D2" w:rsidR="006F003E" w:rsidRPr="000B326C" w:rsidRDefault="006F003E" w:rsidP="00B7072C">
            <w:pPr>
              <w:spacing w:before="100" w:beforeAutospacing="1" w:after="100" w:afterAutospacing="1"/>
              <w:rPr>
                <w:spacing w:val="-4"/>
                <w:w w:val="105"/>
              </w:rPr>
            </w:pPr>
            <w:r w:rsidRPr="000B326C">
              <w:rPr>
                <w:spacing w:val="-1"/>
                <w:w w:val="105"/>
                <w:u w:val="single"/>
              </w:rPr>
              <w:t>Patent</w:t>
            </w:r>
            <w:r w:rsidRPr="000B326C">
              <w:rPr>
                <w:spacing w:val="-1"/>
                <w:w w:val="105"/>
              </w:rPr>
              <w:t xml:space="preserve">: The word </w:t>
            </w:r>
            <w:r w:rsidRPr="000B326C">
              <w:t>"</w:t>
            </w:r>
            <w:r w:rsidRPr="000B326C">
              <w:rPr>
                <w:spacing w:val="-1"/>
                <w:w w:val="105"/>
              </w:rPr>
              <w:t>Patent</w:t>
            </w:r>
            <w:r w:rsidRPr="000B326C">
              <w:t>"</w:t>
            </w:r>
            <w:r w:rsidRPr="000B326C">
              <w:rPr>
                <w:spacing w:val="-1"/>
                <w:w w:val="105"/>
              </w:rPr>
              <w:t xml:space="preserve"> means those claims contained in and identified by </w:t>
            </w:r>
            <w:r w:rsidRPr="000B326C">
              <w:rPr>
                <w:spacing w:val="-4"/>
                <w:w w:val="105"/>
              </w:rPr>
              <w:t xml:space="preserve">patents, utility models and other similar statutory rights based on inventions (including applications </w:t>
            </w:r>
            <w:r w:rsidRPr="000B326C">
              <w:rPr>
                <w:spacing w:val="-6"/>
                <w:w w:val="105"/>
              </w:rPr>
              <w:t xml:space="preserve">for any of these) solely to the extent that any such claims are essential to the implementation of the relevant </w:t>
            </w:r>
            <w:r w:rsidRPr="000B326C">
              <w:rPr>
                <w:spacing w:val="-7"/>
                <w:w w:val="105"/>
              </w:rPr>
              <w:t xml:space="preserve">Recommendation | Deliverable. Essential patents are patents that would be required to implement a specific </w:t>
            </w:r>
            <w:r w:rsidRPr="000B326C">
              <w:rPr>
                <w:spacing w:val="-4"/>
                <w:w w:val="105"/>
              </w:rPr>
              <w:t>Recommendation | Deliverable.</w:t>
            </w:r>
          </w:p>
          <w:p w14:paraId="5EA9717C" w14:textId="77777777" w:rsidR="006F003E" w:rsidRPr="000B326C" w:rsidRDefault="006F003E" w:rsidP="00B7072C">
            <w:pPr>
              <w:spacing w:before="100" w:beforeAutospacing="1" w:after="100" w:afterAutospacing="1"/>
            </w:pPr>
            <w:r w:rsidRPr="00943CB5">
              <w:rPr>
                <w:spacing w:val="-4"/>
                <w:w w:val="105"/>
                <w:u w:val="single"/>
              </w:rPr>
              <w:t>Assignment/transfer of Patent rights</w:t>
            </w:r>
            <w:r w:rsidRPr="000B326C">
              <w:rPr>
                <w:spacing w:val="-4"/>
                <w:w w:val="105"/>
              </w:rPr>
              <w:t>: Licensing declarations made pursuant to Clause 2.1 or 2.2 of the Common Patent Policy for ITU-T/ITU-R/ISO/IEC shall be interpreted as encumbrances that bind all successors-in-interest as to the transferred Patents. Recognizing that this interpretation may not apply in all jurisdictions, any Patent Holder who has submitted a licensing declaration according to the Common Patent Policy - be it selected as option 1 or 2 on the Patent Declaration form - who transfers ownership of a Patent that is subject to such licensing declaration shall include appropriate provisions in the relevant transfer documents to ensure that, as to such transferred Patent, the licensing declaration is binding on the transferee and that the transferee will similarly include appropriate</w:t>
            </w:r>
            <w:r w:rsidRPr="000B326C">
              <w:t xml:space="preserve"> provisions in the event of future transfers with the goal of binding all successors-in-interest.</w:t>
            </w:r>
          </w:p>
        </w:tc>
      </w:tr>
      <w:tr w:rsidR="006F003E" w:rsidRPr="000B326C" w14:paraId="08632595" w14:textId="77777777" w:rsidTr="00B7072C">
        <w:trPr>
          <w:trHeight w:val="276"/>
        </w:trPr>
        <w:tc>
          <w:tcPr>
            <w:tcW w:w="10081" w:type="dxa"/>
            <w:gridSpan w:val="4"/>
            <w:tcBorders>
              <w:top w:val="single" w:sz="4" w:space="0" w:color="auto"/>
              <w:bottom w:val="nil"/>
            </w:tcBorders>
          </w:tcPr>
          <w:p w14:paraId="5BFCB2C5" w14:textId="77777777" w:rsidR="006F003E" w:rsidRPr="000B326C" w:rsidRDefault="006F003E" w:rsidP="00B7072C">
            <w:pPr>
              <w:spacing w:before="100" w:beforeAutospacing="1" w:after="100" w:afterAutospacing="1"/>
              <w:rPr>
                <w:b/>
              </w:rPr>
            </w:pPr>
            <w:r w:rsidRPr="000B326C">
              <w:rPr>
                <w:b/>
              </w:rPr>
              <w:t>Signature:</w:t>
            </w:r>
          </w:p>
        </w:tc>
      </w:tr>
      <w:tr w:rsidR="006F003E" w:rsidRPr="000B326C" w14:paraId="2F342759" w14:textId="77777777" w:rsidTr="00B7072C">
        <w:tc>
          <w:tcPr>
            <w:tcW w:w="2700" w:type="dxa"/>
            <w:gridSpan w:val="2"/>
            <w:tcBorders>
              <w:top w:val="nil"/>
              <w:bottom w:val="nil"/>
              <w:right w:val="nil"/>
            </w:tcBorders>
          </w:tcPr>
          <w:p w14:paraId="5EA57BD3" w14:textId="77777777" w:rsidR="006F003E" w:rsidRPr="000B326C" w:rsidRDefault="006F003E" w:rsidP="00B7072C">
            <w:pPr>
              <w:spacing w:after="100" w:afterAutospacing="1"/>
            </w:pPr>
            <w:r w:rsidRPr="000B326C">
              <w:t>Patent Holder</w:t>
            </w:r>
          </w:p>
        </w:tc>
        <w:tc>
          <w:tcPr>
            <w:tcW w:w="6348" w:type="dxa"/>
            <w:tcBorders>
              <w:top w:val="nil"/>
              <w:left w:val="nil"/>
              <w:right w:val="nil"/>
            </w:tcBorders>
          </w:tcPr>
          <w:p w14:paraId="0D8C3E6C" w14:textId="77777777" w:rsidR="006F003E" w:rsidRPr="000B326C" w:rsidRDefault="006F003E" w:rsidP="00B7072C">
            <w:pPr>
              <w:spacing w:after="100" w:afterAutospacing="1"/>
              <w:rPr>
                <w:b/>
              </w:rPr>
            </w:pPr>
          </w:p>
        </w:tc>
        <w:tc>
          <w:tcPr>
            <w:tcW w:w="1033" w:type="dxa"/>
            <w:tcBorders>
              <w:top w:val="nil"/>
              <w:left w:val="nil"/>
              <w:bottom w:val="nil"/>
            </w:tcBorders>
          </w:tcPr>
          <w:p w14:paraId="584376DF" w14:textId="77777777" w:rsidR="006F003E" w:rsidRPr="000B326C" w:rsidRDefault="006F003E" w:rsidP="00B7072C">
            <w:pPr>
              <w:spacing w:after="100" w:afterAutospacing="1"/>
              <w:rPr>
                <w:b/>
              </w:rPr>
            </w:pPr>
          </w:p>
        </w:tc>
      </w:tr>
      <w:tr w:rsidR="006F003E" w:rsidRPr="000B326C" w14:paraId="69DFD2C2" w14:textId="77777777" w:rsidTr="00B7072C">
        <w:tc>
          <w:tcPr>
            <w:tcW w:w="2700" w:type="dxa"/>
            <w:gridSpan w:val="2"/>
            <w:tcBorders>
              <w:top w:val="nil"/>
              <w:bottom w:val="nil"/>
              <w:right w:val="nil"/>
            </w:tcBorders>
          </w:tcPr>
          <w:p w14:paraId="7ED64F1B" w14:textId="77777777" w:rsidR="006F003E" w:rsidRPr="000B326C" w:rsidRDefault="006F003E" w:rsidP="00B7072C">
            <w:pPr>
              <w:spacing w:after="100" w:afterAutospacing="1"/>
            </w:pPr>
            <w:r w:rsidRPr="000B326C">
              <w:t>Name of authorized person</w:t>
            </w:r>
          </w:p>
        </w:tc>
        <w:tc>
          <w:tcPr>
            <w:tcW w:w="6348" w:type="dxa"/>
            <w:tcBorders>
              <w:left w:val="nil"/>
              <w:right w:val="nil"/>
            </w:tcBorders>
          </w:tcPr>
          <w:p w14:paraId="7EA5AD79" w14:textId="77777777" w:rsidR="006F003E" w:rsidRPr="000B326C" w:rsidRDefault="006F003E" w:rsidP="00B7072C">
            <w:pPr>
              <w:spacing w:after="100" w:afterAutospacing="1"/>
              <w:rPr>
                <w:b/>
              </w:rPr>
            </w:pPr>
          </w:p>
        </w:tc>
        <w:tc>
          <w:tcPr>
            <w:tcW w:w="1033" w:type="dxa"/>
            <w:tcBorders>
              <w:top w:val="nil"/>
              <w:left w:val="nil"/>
              <w:bottom w:val="nil"/>
            </w:tcBorders>
          </w:tcPr>
          <w:p w14:paraId="34FD061A" w14:textId="77777777" w:rsidR="006F003E" w:rsidRPr="000B326C" w:rsidRDefault="006F003E" w:rsidP="00B7072C">
            <w:pPr>
              <w:spacing w:after="100" w:afterAutospacing="1"/>
              <w:rPr>
                <w:b/>
              </w:rPr>
            </w:pPr>
          </w:p>
        </w:tc>
      </w:tr>
      <w:tr w:rsidR="006F003E" w:rsidRPr="000B326C" w14:paraId="23D395AC" w14:textId="77777777" w:rsidTr="00B7072C">
        <w:tc>
          <w:tcPr>
            <w:tcW w:w="2700" w:type="dxa"/>
            <w:gridSpan w:val="2"/>
            <w:tcBorders>
              <w:top w:val="nil"/>
              <w:bottom w:val="nil"/>
              <w:right w:val="nil"/>
            </w:tcBorders>
          </w:tcPr>
          <w:p w14:paraId="4AA548F9" w14:textId="77777777" w:rsidR="006F003E" w:rsidRPr="000B326C" w:rsidRDefault="006F003E" w:rsidP="00B7072C">
            <w:pPr>
              <w:spacing w:after="100" w:afterAutospacing="1"/>
            </w:pPr>
            <w:r w:rsidRPr="000B326C">
              <w:t>Title of authorized person</w:t>
            </w:r>
          </w:p>
        </w:tc>
        <w:tc>
          <w:tcPr>
            <w:tcW w:w="6348" w:type="dxa"/>
            <w:tcBorders>
              <w:left w:val="nil"/>
              <w:right w:val="nil"/>
            </w:tcBorders>
          </w:tcPr>
          <w:p w14:paraId="41ED52E5" w14:textId="77777777" w:rsidR="006F003E" w:rsidRPr="000B326C" w:rsidRDefault="006F003E" w:rsidP="00B7072C">
            <w:pPr>
              <w:spacing w:after="100" w:afterAutospacing="1"/>
              <w:rPr>
                <w:b/>
              </w:rPr>
            </w:pPr>
          </w:p>
        </w:tc>
        <w:tc>
          <w:tcPr>
            <w:tcW w:w="1033" w:type="dxa"/>
            <w:tcBorders>
              <w:top w:val="nil"/>
              <w:left w:val="nil"/>
              <w:bottom w:val="nil"/>
            </w:tcBorders>
          </w:tcPr>
          <w:p w14:paraId="4891FE3F" w14:textId="77777777" w:rsidR="006F003E" w:rsidRPr="000B326C" w:rsidRDefault="006F003E" w:rsidP="00B7072C">
            <w:pPr>
              <w:spacing w:after="100" w:afterAutospacing="1"/>
              <w:rPr>
                <w:b/>
              </w:rPr>
            </w:pPr>
          </w:p>
        </w:tc>
      </w:tr>
      <w:tr w:rsidR="006F003E" w:rsidRPr="000B326C" w14:paraId="18FFD2E8" w14:textId="77777777" w:rsidTr="00B7072C">
        <w:tc>
          <w:tcPr>
            <w:tcW w:w="2700" w:type="dxa"/>
            <w:gridSpan w:val="2"/>
            <w:tcBorders>
              <w:top w:val="nil"/>
              <w:bottom w:val="nil"/>
              <w:right w:val="nil"/>
            </w:tcBorders>
          </w:tcPr>
          <w:p w14:paraId="0721B8B6" w14:textId="77777777" w:rsidR="006F003E" w:rsidRPr="000B326C" w:rsidRDefault="006F003E" w:rsidP="00B7072C">
            <w:pPr>
              <w:spacing w:after="100" w:afterAutospacing="1"/>
              <w:rPr>
                <w:b/>
              </w:rPr>
            </w:pPr>
            <w:r w:rsidRPr="000B326C">
              <w:t>Signature</w:t>
            </w:r>
          </w:p>
        </w:tc>
        <w:tc>
          <w:tcPr>
            <w:tcW w:w="6348" w:type="dxa"/>
            <w:tcBorders>
              <w:left w:val="nil"/>
              <w:right w:val="nil"/>
            </w:tcBorders>
          </w:tcPr>
          <w:p w14:paraId="33B7CDB3" w14:textId="77777777" w:rsidR="006F003E" w:rsidRPr="000B326C" w:rsidRDefault="006F003E" w:rsidP="00B7072C">
            <w:pPr>
              <w:spacing w:after="100" w:afterAutospacing="1"/>
              <w:rPr>
                <w:b/>
              </w:rPr>
            </w:pPr>
          </w:p>
        </w:tc>
        <w:tc>
          <w:tcPr>
            <w:tcW w:w="1033" w:type="dxa"/>
            <w:tcBorders>
              <w:top w:val="nil"/>
              <w:left w:val="nil"/>
              <w:bottom w:val="nil"/>
            </w:tcBorders>
          </w:tcPr>
          <w:p w14:paraId="2D5B0C9E" w14:textId="77777777" w:rsidR="006F003E" w:rsidRPr="000B326C" w:rsidRDefault="006F003E" w:rsidP="00B7072C">
            <w:pPr>
              <w:spacing w:after="100" w:afterAutospacing="1"/>
              <w:rPr>
                <w:b/>
              </w:rPr>
            </w:pPr>
          </w:p>
        </w:tc>
      </w:tr>
      <w:tr w:rsidR="006F003E" w:rsidRPr="000B326C" w14:paraId="16D2F80F" w14:textId="77777777" w:rsidTr="00B7072C">
        <w:tc>
          <w:tcPr>
            <w:tcW w:w="2700" w:type="dxa"/>
            <w:gridSpan w:val="2"/>
            <w:tcBorders>
              <w:top w:val="nil"/>
              <w:bottom w:val="single" w:sz="6" w:space="0" w:color="auto"/>
              <w:right w:val="nil"/>
            </w:tcBorders>
          </w:tcPr>
          <w:p w14:paraId="294AC907" w14:textId="77777777" w:rsidR="006F003E" w:rsidRPr="000B326C" w:rsidRDefault="006F003E" w:rsidP="00B7072C">
            <w:pPr>
              <w:spacing w:after="100" w:afterAutospacing="1"/>
            </w:pPr>
            <w:r w:rsidRPr="000B326C">
              <w:t>Place, Date</w:t>
            </w:r>
          </w:p>
        </w:tc>
        <w:tc>
          <w:tcPr>
            <w:tcW w:w="6348" w:type="dxa"/>
            <w:tcBorders>
              <w:left w:val="nil"/>
              <w:bottom w:val="single" w:sz="6" w:space="0" w:color="auto"/>
              <w:right w:val="nil"/>
            </w:tcBorders>
          </w:tcPr>
          <w:p w14:paraId="350ED49B" w14:textId="77777777" w:rsidR="006F003E" w:rsidRPr="000B326C" w:rsidRDefault="006F003E" w:rsidP="00B7072C">
            <w:pPr>
              <w:spacing w:after="100" w:afterAutospacing="1"/>
              <w:rPr>
                <w:b/>
              </w:rPr>
            </w:pPr>
          </w:p>
        </w:tc>
        <w:tc>
          <w:tcPr>
            <w:tcW w:w="1033" w:type="dxa"/>
            <w:tcBorders>
              <w:top w:val="nil"/>
              <w:left w:val="nil"/>
              <w:bottom w:val="single" w:sz="6" w:space="0" w:color="auto"/>
            </w:tcBorders>
          </w:tcPr>
          <w:p w14:paraId="14FF0797" w14:textId="77777777" w:rsidR="006F003E" w:rsidRPr="000B326C" w:rsidRDefault="006F003E" w:rsidP="00B7072C">
            <w:pPr>
              <w:spacing w:after="100" w:afterAutospacing="1"/>
              <w:rPr>
                <w:b/>
              </w:rPr>
            </w:pPr>
          </w:p>
        </w:tc>
      </w:tr>
    </w:tbl>
    <w:p w14:paraId="368326E0" w14:textId="77777777" w:rsidR="006F003E" w:rsidRPr="00F221EE" w:rsidRDefault="006F003E" w:rsidP="00F221EE">
      <w:pPr>
        <w:pStyle w:val="TableText"/>
        <w:spacing w:before="120"/>
        <w:rPr>
          <w:rFonts w:asciiTheme="minorHAnsi" w:hAnsiTheme="minorHAnsi"/>
        </w:rPr>
      </w:pPr>
      <w:r w:rsidRPr="00F221EE">
        <w:rPr>
          <w:rFonts w:asciiTheme="minorHAnsi" w:hAnsiTheme="minorHAnsi"/>
        </w:rPr>
        <w:t>FORM: 26 June 2015</w:t>
      </w:r>
    </w:p>
    <w:sectPr w:rsidR="006F003E" w:rsidRPr="00F221EE" w:rsidSect="008458F0">
      <w:headerReference w:type="default" r:id="rId15"/>
      <w:footerReference w:type="default" r:id="rId16"/>
      <w:pgSz w:w="12240" w:h="15840"/>
      <w:pgMar w:top="1247" w:right="1247" w:bottom="1247" w:left="1247"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3155" w14:textId="77777777" w:rsidR="007C0E22" w:rsidRDefault="007C0E22" w:rsidP="00830148">
      <w:r>
        <w:separator/>
      </w:r>
    </w:p>
  </w:endnote>
  <w:endnote w:type="continuationSeparator" w:id="0">
    <w:p w14:paraId="62DF0AB4" w14:textId="77777777" w:rsidR="007C0E22" w:rsidRDefault="007C0E22" w:rsidP="0083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B21E0" w14:textId="77777777" w:rsidR="003A5637" w:rsidRPr="008458F0" w:rsidRDefault="00000000" w:rsidP="003A5637">
    <w:pPr>
      <w:pStyle w:val="Footer"/>
      <w:jc w:val="center"/>
      <w:rPr>
        <w:sz w:val="18"/>
        <w:szCs w:val="18"/>
      </w:rPr>
    </w:pPr>
    <w:sdt>
      <w:sdtPr>
        <w:rPr>
          <w:sz w:val="18"/>
          <w:szCs w:val="18"/>
        </w:rPr>
        <w:id w:val="-206946649"/>
        <w:docPartObj>
          <w:docPartGallery w:val="Page Numbers (Bottom of Page)"/>
          <w:docPartUnique/>
        </w:docPartObj>
      </w:sdtPr>
      <w:sdtEndPr>
        <w:rPr>
          <w:noProof/>
        </w:rPr>
      </w:sdtEndPr>
      <w:sdtContent>
        <w:r w:rsidR="008458F0" w:rsidRPr="008458F0">
          <w:rPr>
            <w:noProof/>
            <w:sz w:val="18"/>
            <w:szCs w:val="18"/>
          </w:rPr>
          <w:t xml:space="preserve">Page </w:t>
        </w:r>
        <w:r w:rsidR="008458F0" w:rsidRPr="008458F0">
          <w:rPr>
            <w:b/>
            <w:bCs/>
            <w:noProof/>
            <w:sz w:val="18"/>
            <w:szCs w:val="18"/>
          </w:rPr>
          <w:fldChar w:fldCharType="begin"/>
        </w:r>
        <w:r w:rsidR="008458F0" w:rsidRPr="008458F0">
          <w:rPr>
            <w:b/>
            <w:bCs/>
            <w:noProof/>
            <w:sz w:val="18"/>
            <w:szCs w:val="18"/>
          </w:rPr>
          <w:instrText xml:space="preserve"> PAGE  \* Arabic  \* MERGEFORMAT </w:instrText>
        </w:r>
        <w:r w:rsidR="008458F0" w:rsidRPr="008458F0">
          <w:rPr>
            <w:b/>
            <w:bCs/>
            <w:noProof/>
            <w:sz w:val="18"/>
            <w:szCs w:val="18"/>
          </w:rPr>
          <w:fldChar w:fldCharType="separate"/>
        </w:r>
        <w:r w:rsidR="00D73670">
          <w:rPr>
            <w:b/>
            <w:bCs/>
            <w:noProof/>
            <w:sz w:val="18"/>
            <w:szCs w:val="18"/>
          </w:rPr>
          <w:t>1</w:t>
        </w:r>
        <w:r w:rsidR="008458F0" w:rsidRPr="008458F0">
          <w:rPr>
            <w:b/>
            <w:bCs/>
            <w:noProof/>
            <w:sz w:val="18"/>
            <w:szCs w:val="18"/>
          </w:rPr>
          <w:fldChar w:fldCharType="end"/>
        </w:r>
        <w:r w:rsidR="008458F0" w:rsidRPr="008458F0">
          <w:rPr>
            <w:noProof/>
            <w:sz w:val="18"/>
            <w:szCs w:val="18"/>
          </w:rPr>
          <w:t xml:space="preserve"> of </w:t>
        </w:r>
        <w:r w:rsidR="008458F0" w:rsidRPr="008458F0">
          <w:rPr>
            <w:b/>
            <w:bCs/>
            <w:noProof/>
            <w:sz w:val="18"/>
            <w:szCs w:val="18"/>
          </w:rPr>
          <w:fldChar w:fldCharType="begin"/>
        </w:r>
        <w:r w:rsidR="008458F0" w:rsidRPr="008458F0">
          <w:rPr>
            <w:b/>
            <w:bCs/>
            <w:noProof/>
            <w:sz w:val="18"/>
            <w:szCs w:val="18"/>
          </w:rPr>
          <w:instrText xml:space="preserve"> NUMPAGES  \* Arabic  \* MERGEFORMAT </w:instrText>
        </w:r>
        <w:r w:rsidR="008458F0" w:rsidRPr="008458F0">
          <w:rPr>
            <w:b/>
            <w:bCs/>
            <w:noProof/>
            <w:sz w:val="18"/>
            <w:szCs w:val="18"/>
          </w:rPr>
          <w:fldChar w:fldCharType="separate"/>
        </w:r>
        <w:r w:rsidR="00D73670">
          <w:rPr>
            <w:b/>
            <w:bCs/>
            <w:noProof/>
            <w:sz w:val="18"/>
            <w:szCs w:val="18"/>
          </w:rPr>
          <w:t>5</w:t>
        </w:r>
        <w:r w:rsidR="008458F0" w:rsidRPr="008458F0">
          <w:rPr>
            <w:b/>
            <w:bCs/>
            <w:noProof/>
            <w:sz w:val="18"/>
            <w:szCs w:val="18"/>
          </w:rPr>
          <w:fldChar w:fldCharType="end"/>
        </w:r>
      </w:sdtContent>
    </w:sdt>
  </w:p>
  <w:p w14:paraId="035F79AD" w14:textId="77777777" w:rsidR="003A5637" w:rsidRPr="008458F0" w:rsidRDefault="003A5637" w:rsidP="003A5637">
    <w:pPr>
      <w:pStyle w:val="Footer"/>
      <w:jc w:val="center"/>
      <w:rPr>
        <w:sz w:val="18"/>
        <w:szCs w:val="18"/>
      </w:rPr>
    </w:pPr>
    <w:r w:rsidRPr="008458F0">
      <w:rPr>
        <w:sz w:val="18"/>
        <w:szCs w:val="18"/>
      </w:rPr>
      <w:t>15 June 2018</w:t>
    </w:r>
  </w:p>
  <w:p w14:paraId="00CB9986" w14:textId="77777777" w:rsidR="003A5637" w:rsidRDefault="003A5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CD05" w14:textId="77777777" w:rsidR="007C0E22" w:rsidRDefault="007C0E22" w:rsidP="00830148">
      <w:r>
        <w:separator/>
      </w:r>
    </w:p>
  </w:footnote>
  <w:footnote w:type="continuationSeparator" w:id="0">
    <w:p w14:paraId="2AA52558" w14:textId="77777777" w:rsidR="007C0E22" w:rsidRDefault="007C0E22" w:rsidP="0083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1C4C" w14:textId="37A46A77" w:rsidR="0089342B" w:rsidRPr="0089342B" w:rsidRDefault="0089342B" w:rsidP="0089342B">
    <w:pPr>
      <w:pStyle w:val="Heading1"/>
      <w:spacing w:before="0"/>
      <w:jc w:val="center"/>
      <w:rPr>
        <w:rFonts w:asciiTheme="minorHAnsi" w:hAnsiTheme="minorHAnsi" w:cstheme="minorHAnsi"/>
        <w:color w:val="000000" w:themeColor="text1"/>
        <w:lang w:eastAsia="ja-JP"/>
      </w:rPr>
    </w:pPr>
    <w:r w:rsidRPr="0089342B">
      <w:rPr>
        <w:rFonts w:asciiTheme="minorHAnsi" w:hAnsiTheme="minorHAnsi" w:cstheme="minorHAnsi"/>
        <w:color w:val="000000" w:themeColor="text1"/>
        <w:lang w:eastAsia="ja-JP"/>
      </w:rPr>
      <w:t>Compliance with ITU-R Policy on IPR for Proponents of the IMT-</w:t>
    </w:r>
    <w:r w:rsidR="00EE6841">
      <w:rPr>
        <w:rFonts w:asciiTheme="minorHAnsi" w:hAnsiTheme="minorHAnsi" w:cstheme="minorHAnsi"/>
        <w:color w:val="000000" w:themeColor="text1"/>
        <w:lang w:eastAsia="ja-JP"/>
      </w:rPr>
      <w:t>Advanced</w:t>
    </w:r>
    <w:r w:rsidRPr="0089342B">
      <w:rPr>
        <w:rFonts w:asciiTheme="minorHAnsi" w:hAnsiTheme="minorHAnsi" w:cstheme="minorHAnsi"/>
        <w:color w:val="000000" w:themeColor="text1"/>
        <w:lang w:eastAsia="ja-JP"/>
      </w:rPr>
      <w:t xml:space="preserve"> process</w:t>
    </w:r>
  </w:p>
  <w:p w14:paraId="7F167C07" w14:textId="77777777" w:rsidR="0089342B" w:rsidRDefault="008934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50D"/>
    <w:rsid w:val="0000478B"/>
    <w:rsid w:val="0000487A"/>
    <w:rsid w:val="00014AA1"/>
    <w:rsid w:val="0002132A"/>
    <w:rsid w:val="000426CF"/>
    <w:rsid w:val="00057508"/>
    <w:rsid w:val="000600D8"/>
    <w:rsid w:val="00060690"/>
    <w:rsid w:val="000628C7"/>
    <w:rsid w:val="000708D9"/>
    <w:rsid w:val="000C6D3A"/>
    <w:rsid w:val="000D330A"/>
    <w:rsid w:val="000F152E"/>
    <w:rsid w:val="000F175B"/>
    <w:rsid w:val="00136C28"/>
    <w:rsid w:val="001D7D16"/>
    <w:rsid w:val="00206280"/>
    <w:rsid w:val="002074B0"/>
    <w:rsid w:val="00236237"/>
    <w:rsid w:val="00242A98"/>
    <w:rsid w:val="0025625B"/>
    <w:rsid w:val="00260A14"/>
    <w:rsid w:val="002659D6"/>
    <w:rsid w:val="002B0653"/>
    <w:rsid w:val="002C3699"/>
    <w:rsid w:val="002D10F8"/>
    <w:rsid w:val="002E1AF0"/>
    <w:rsid w:val="00302B75"/>
    <w:rsid w:val="00303236"/>
    <w:rsid w:val="00305544"/>
    <w:rsid w:val="00366191"/>
    <w:rsid w:val="00376955"/>
    <w:rsid w:val="003A0AFA"/>
    <w:rsid w:val="003A5637"/>
    <w:rsid w:val="003B44E5"/>
    <w:rsid w:val="003B573A"/>
    <w:rsid w:val="003D57E3"/>
    <w:rsid w:val="003F0BAD"/>
    <w:rsid w:val="00410D25"/>
    <w:rsid w:val="0041450D"/>
    <w:rsid w:val="00454A2C"/>
    <w:rsid w:val="0046315F"/>
    <w:rsid w:val="004B2C02"/>
    <w:rsid w:val="004E19D9"/>
    <w:rsid w:val="00500EE2"/>
    <w:rsid w:val="00506B70"/>
    <w:rsid w:val="005562C0"/>
    <w:rsid w:val="00575C84"/>
    <w:rsid w:val="005A5456"/>
    <w:rsid w:val="005C05B4"/>
    <w:rsid w:val="005C3D00"/>
    <w:rsid w:val="005E05F5"/>
    <w:rsid w:val="005E0EA1"/>
    <w:rsid w:val="005F159C"/>
    <w:rsid w:val="005F5525"/>
    <w:rsid w:val="006055B9"/>
    <w:rsid w:val="006149E8"/>
    <w:rsid w:val="00633FDF"/>
    <w:rsid w:val="00650619"/>
    <w:rsid w:val="0065465D"/>
    <w:rsid w:val="006651B2"/>
    <w:rsid w:val="00690A4E"/>
    <w:rsid w:val="00697D63"/>
    <w:rsid w:val="006A070E"/>
    <w:rsid w:val="006C4F4D"/>
    <w:rsid w:val="006C6261"/>
    <w:rsid w:val="006D617F"/>
    <w:rsid w:val="006F003E"/>
    <w:rsid w:val="006F3B60"/>
    <w:rsid w:val="00701B6A"/>
    <w:rsid w:val="007224DB"/>
    <w:rsid w:val="007409B7"/>
    <w:rsid w:val="0074410E"/>
    <w:rsid w:val="00755A0D"/>
    <w:rsid w:val="00760026"/>
    <w:rsid w:val="00762679"/>
    <w:rsid w:val="00786CAB"/>
    <w:rsid w:val="00794D10"/>
    <w:rsid w:val="007C0E22"/>
    <w:rsid w:val="007F25D5"/>
    <w:rsid w:val="00801576"/>
    <w:rsid w:val="00802FE8"/>
    <w:rsid w:val="00823D1F"/>
    <w:rsid w:val="00830148"/>
    <w:rsid w:val="008458F0"/>
    <w:rsid w:val="008510EC"/>
    <w:rsid w:val="00853CF3"/>
    <w:rsid w:val="00853D69"/>
    <w:rsid w:val="00854855"/>
    <w:rsid w:val="0089342B"/>
    <w:rsid w:val="0089478F"/>
    <w:rsid w:val="008B14AB"/>
    <w:rsid w:val="008B2DE1"/>
    <w:rsid w:val="008C5D10"/>
    <w:rsid w:val="00925E0E"/>
    <w:rsid w:val="0093515F"/>
    <w:rsid w:val="00953858"/>
    <w:rsid w:val="009567E7"/>
    <w:rsid w:val="00962101"/>
    <w:rsid w:val="009A40AF"/>
    <w:rsid w:val="009C5FC6"/>
    <w:rsid w:val="009D69AB"/>
    <w:rsid w:val="009E4C18"/>
    <w:rsid w:val="00A06306"/>
    <w:rsid w:val="00A22C87"/>
    <w:rsid w:val="00A25459"/>
    <w:rsid w:val="00A35615"/>
    <w:rsid w:val="00A513C7"/>
    <w:rsid w:val="00A63884"/>
    <w:rsid w:val="00A81E2D"/>
    <w:rsid w:val="00A94639"/>
    <w:rsid w:val="00AD12BC"/>
    <w:rsid w:val="00AF5F13"/>
    <w:rsid w:val="00B274E8"/>
    <w:rsid w:val="00B42820"/>
    <w:rsid w:val="00B540C7"/>
    <w:rsid w:val="00B7797D"/>
    <w:rsid w:val="00B90752"/>
    <w:rsid w:val="00B90D5B"/>
    <w:rsid w:val="00BA1DE8"/>
    <w:rsid w:val="00BC4DFE"/>
    <w:rsid w:val="00BF3D07"/>
    <w:rsid w:val="00C22D80"/>
    <w:rsid w:val="00C90E5B"/>
    <w:rsid w:val="00CB01DD"/>
    <w:rsid w:val="00CC399C"/>
    <w:rsid w:val="00CE1ECB"/>
    <w:rsid w:val="00D0035D"/>
    <w:rsid w:val="00D07F14"/>
    <w:rsid w:val="00D202BD"/>
    <w:rsid w:val="00D36B73"/>
    <w:rsid w:val="00D43CCB"/>
    <w:rsid w:val="00D57AF7"/>
    <w:rsid w:val="00D728F3"/>
    <w:rsid w:val="00D73670"/>
    <w:rsid w:val="00D91BFA"/>
    <w:rsid w:val="00D97272"/>
    <w:rsid w:val="00DB0B6D"/>
    <w:rsid w:val="00DB75F2"/>
    <w:rsid w:val="00DC18DE"/>
    <w:rsid w:val="00DC698B"/>
    <w:rsid w:val="00DE3974"/>
    <w:rsid w:val="00DE445B"/>
    <w:rsid w:val="00DE6D44"/>
    <w:rsid w:val="00DE709E"/>
    <w:rsid w:val="00E137CB"/>
    <w:rsid w:val="00E53CD3"/>
    <w:rsid w:val="00E55000"/>
    <w:rsid w:val="00E55C3A"/>
    <w:rsid w:val="00E740F2"/>
    <w:rsid w:val="00EB6D5D"/>
    <w:rsid w:val="00EE64B2"/>
    <w:rsid w:val="00EE6841"/>
    <w:rsid w:val="00EF28D7"/>
    <w:rsid w:val="00F151D3"/>
    <w:rsid w:val="00F221EE"/>
    <w:rsid w:val="00F36740"/>
    <w:rsid w:val="00F42E63"/>
    <w:rsid w:val="00F43719"/>
    <w:rsid w:val="00F5350F"/>
    <w:rsid w:val="00F701AA"/>
    <w:rsid w:val="00F90752"/>
    <w:rsid w:val="00F940F3"/>
    <w:rsid w:val="00FB3E4C"/>
    <w:rsid w:val="00FC5A84"/>
    <w:rsid w:val="00FC5F87"/>
    <w:rsid w:val="00FC6194"/>
    <w:rsid w:val="00FD5A11"/>
    <w:rsid w:val="00FD7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F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50D"/>
    <w:pPr>
      <w:spacing w:after="0" w:line="240" w:lineRule="auto"/>
    </w:pPr>
    <w:rPr>
      <w:rFonts w:ascii="Calibri" w:hAnsi="Calibri" w:cs="Times New Roman"/>
    </w:rPr>
  </w:style>
  <w:style w:type="paragraph" w:styleId="Heading1">
    <w:name w:val="heading 1"/>
    <w:basedOn w:val="Normal"/>
    <w:next w:val="Normal"/>
    <w:link w:val="Heading1Char"/>
    <w:uiPriority w:val="99"/>
    <w:qFormat/>
    <w:rsid w:val="0083014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eastAsia="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50D"/>
    <w:rPr>
      <w:color w:val="0000FF"/>
      <w:u w:val="single"/>
    </w:rPr>
  </w:style>
  <w:style w:type="character" w:customStyle="1" w:styleId="Heading1Char">
    <w:name w:val="Heading 1 Char"/>
    <w:basedOn w:val="DefaultParagraphFont"/>
    <w:link w:val="Heading1"/>
    <w:uiPriority w:val="99"/>
    <w:rsid w:val="00830148"/>
    <w:rPr>
      <w:rFonts w:ascii="Times New Roman" w:eastAsia="Times New Roman" w:hAnsi="Times New Roman" w:cs="Times New Roman"/>
      <w:b/>
      <w:sz w:val="24"/>
      <w:szCs w:val="24"/>
      <w:lang w:val="en-GB"/>
    </w:rPr>
  </w:style>
  <w:style w:type="paragraph" w:styleId="FootnoteText">
    <w:name w:val="footnote text"/>
    <w:basedOn w:val="Normal"/>
    <w:link w:val="FootnoteTextChar"/>
    <w:uiPriority w:val="99"/>
    <w:semiHidden/>
    <w:unhideWhenUsed/>
    <w:rsid w:val="00830148"/>
    <w:rPr>
      <w:sz w:val="20"/>
      <w:szCs w:val="20"/>
    </w:rPr>
  </w:style>
  <w:style w:type="character" w:customStyle="1" w:styleId="FootnoteTextChar">
    <w:name w:val="Footnote Text Char"/>
    <w:basedOn w:val="DefaultParagraphFont"/>
    <w:link w:val="FootnoteText"/>
    <w:uiPriority w:val="99"/>
    <w:semiHidden/>
    <w:rsid w:val="00830148"/>
    <w:rPr>
      <w:rFonts w:ascii="Calibri" w:hAnsi="Calibri" w:cs="Times New Roman"/>
      <w:sz w:val="20"/>
      <w:szCs w:val="20"/>
    </w:rPr>
  </w:style>
  <w:style w:type="character" w:styleId="FootnoteReference">
    <w:name w:val="footnote reference"/>
    <w:basedOn w:val="DefaultParagraphFont"/>
    <w:uiPriority w:val="99"/>
    <w:unhideWhenUsed/>
    <w:rsid w:val="00830148"/>
    <w:rPr>
      <w:vertAlign w:val="superscript"/>
    </w:rPr>
  </w:style>
  <w:style w:type="table" w:styleId="TableGrid">
    <w:name w:val="Table Grid"/>
    <w:basedOn w:val="TableNormal"/>
    <w:uiPriority w:val="59"/>
    <w:rsid w:val="006F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10F8"/>
    <w:rPr>
      <w:color w:val="800080" w:themeColor="followedHyperlink"/>
      <w:u w:val="single"/>
    </w:rPr>
  </w:style>
  <w:style w:type="paragraph" w:styleId="BalloonText">
    <w:name w:val="Balloon Text"/>
    <w:basedOn w:val="Normal"/>
    <w:link w:val="BalloonTextChar"/>
    <w:unhideWhenUsed/>
    <w:rsid w:val="0065465D"/>
    <w:rPr>
      <w:rFonts w:ascii="Tahoma" w:hAnsi="Tahoma" w:cs="Tahoma"/>
      <w:sz w:val="16"/>
      <w:szCs w:val="16"/>
    </w:rPr>
  </w:style>
  <w:style w:type="character" w:customStyle="1" w:styleId="BalloonTextChar">
    <w:name w:val="Balloon Text Char"/>
    <w:basedOn w:val="DefaultParagraphFont"/>
    <w:link w:val="BalloonText"/>
    <w:rsid w:val="0065465D"/>
    <w:rPr>
      <w:rFonts w:ascii="Tahoma" w:hAnsi="Tahoma" w:cs="Tahoma"/>
      <w:sz w:val="16"/>
      <w:szCs w:val="16"/>
    </w:rPr>
  </w:style>
  <w:style w:type="character" w:styleId="CommentReference">
    <w:name w:val="annotation reference"/>
    <w:basedOn w:val="DefaultParagraphFont"/>
    <w:uiPriority w:val="99"/>
    <w:semiHidden/>
    <w:unhideWhenUsed/>
    <w:rsid w:val="00FC6194"/>
    <w:rPr>
      <w:sz w:val="16"/>
      <w:szCs w:val="16"/>
    </w:rPr>
  </w:style>
  <w:style w:type="paragraph" w:styleId="CommentText">
    <w:name w:val="annotation text"/>
    <w:basedOn w:val="Normal"/>
    <w:link w:val="CommentTextChar"/>
    <w:uiPriority w:val="99"/>
    <w:semiHidden/>
    <w:unhideWhenUsed/>
    <w:rsid w:val="00FC6194"/>
    <w:rPr>
      <w:sz w:val="20"/>
      <w:szCs w:val="20"/>
    </w:rPr>
  </w:style>
  <w:style w:type="character" w:customStyle="1" w:styleId="CommentTextChar">
    <w:name w:val="Comment Text Char"/>
    <w:basedOn w:val="DefaultParagraphFont"/>
    <w:link w:val="CommentText"/>
    <w:uiPriority w:val="99"/>
    <w:semiHidden/>
    <w:rsid w:val="00FC619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C6194"/>
    <w:rPr>
      <w:b/>
      <w:bCs/>
    </w:rPr>
  </w:style>
  <w:style w:type="character" w:customStyle="1" w:styleId="CommentSubjectChar">
    <w:name w:val="Comment Subject Char"/>
    <w:basedOn w:val="CommentTextChar"/>
    <w:link w:val="CommentSubject"/>
    <w:uiPriority w:val="99"/>
    <w:semiHidden/>
    <w:rsid w:val="00FC6194"/>
    <w:rPr>
      <w:rFonts w:ascii="Calibri" w:hAnsi="Calibri" w:cs="Times New Roman"/>
      <w:b/>
      <w:bCs/>
      <w:sz w:val="20"/>
      <w:szCs w:val="20"/>
    </w:rPr>
  </w:style>
  <w:style w:type="paragraph" w:styleId="Header">
    <w:name w:val="header"/>
    <w:basedOn w:val="Normal"/>
    <w:link w:val="HeaderChar"/>
    <w:uiPriority w:val="99"/>
    <w:unhideWhenUsed/>
    <w:rsid w:val="002C3699"/>
    <w:pPr>
      <w:tabs>
        <w:tab w:val="center" w:pos="4680"/>
        <w:tab w:val="right" w:pos="9360"/>
      </w:tabs>
    </w:pPr>
  </w:style>
  <w:style w:type="character" w:customStyle="1" w:styleId="HeaderChar">
    <w:name w:val="Header Char"/>
    <w:basedOn w:val="DefaultParagraphFont"/>
    <w:link w:val="Header"/>
    <w:uiPriority w:val="99"/>
    <w:rsid w:val="002C3699"/>
    <w:rPr>
      <w:rFonts w:ascii="Calibri" w:hAnsi="Calibri" w:cs="Times New Roman"/>
    </w:rPr>
  </w:style>
  <w:style w:type="paragraph" w:styleId="Footer">
    <w:name w:val="footer"/>
    <w:basedOn w:val="Normal"/>
    <w:link w:val="FooterChar"/>
    <w:uiPriority w:val="99"/>
    <w:unhideWhenUsed/>
    <w:rsid w:val="002C3699"/>
    <w:pPr>
      <w:tabs>
        <w:tab w:val="center" w:pos="4680"/>
        <w:tab w:val="right" w:pos="9360"/>
      </w:tabs>
    </w:pPr>
  </w:style>
  <w:style w:type="character" w:customStyle="1" w:styleId="FooterChar">
    <w:name w:val="Footer Char"/>
    <w:basedOn w:val="DefaultParagraphFont"/>
    <w:link w:val="Footer"/>
    <w:uiPriority w:val="99"/>
    <w:rsid w:val="002C3699"/>
    <w:rPr>
      <w:rFonts w:ascii="Calibri" w:hAnsi="Calibri" w:cs="Times New Roman"/>
    </w:rPr>
  </w:style>
  <w:style w:type="paragraph" w:styleId="Subtitle">
    <w:name w:val="Subtitle"/>
    <w:basedOn w:val="Normal"/>
    <w:next w:val="Normal"/>
    <w:link w:val="SubtitleChar"/>
    <w:qFormat/>
    <w:rsid w:val="006F003E"/>
    <w:pPr>
      <w:tabs>
        <w:tab w:val="left" w:pos="794"/>
        <w:tab w:val="left" w:pos="1191"/>
        <w:tab w:val="left" w:pos="1588"/>
        <w:tab w:val="left" w:pos="1985"/>
      </w:tabs>
      <w:overflowPunct w:val="0"/>
      <w:autoSpaceDE w:val="0"/>
      <w:autoSpaceDN w:val="0"/>
      <w:adjustRightInd w:val="0"/>
      <w:spacing w:before="120" w:after="60"/>
      <w:jc w:val="center"/>
      <w:textAlignment w:val="baseline"/>
      <w:outlineLvl w:val="1"/>
    </w:pPr>
    <w:rPr>
      <w:rFonts w:ascii="Cambria" w:eastAsia="SimSun" w:hAnsi="Cambria"/>
      <w:sz w:val="24"/>
      <w:szCs w:val="24"/>
      <w:lang w:val="en-GB"/>
    </w:rPr>
  </w:style>
  <w:style w:type="character" w:customStyle="1" w:styleId="SubtitleChar">
    <w:name w:val="Subtitle Char"/>
    <w:basedOn w:val="DefaultParagraphFont"/>
    <w:link w:val="Subtitle"/>
    <w:rsid w:val="006F003E"/>
    <w:rPr>
      <w:rFonts w:ascii="Cambria" w:eastAsia="SimSun" w:hAnsi="Cambria" w:cs="Times New Roman"/>
      <w:sz w:val="24"/>
      <w:szCs w:val="24"/>
      <w:lang w:val="en-GB"/>
    </w:rPr>
  </w:style>
  <w:style w:type="paragraph" w:styleId="BodyText3">
    <w:name w:val="Body Text 3"/>
    <w:basedOn w:val="Normal"/>
    <w:link w:val="BodyText3Char"/>
    <w:rsid w:val="006F003E"/>
    <w:pPr>
      <w:tabs>
        <w:tab w:val="left" w:pos="794"/>
        <w:tab w:val="left" w:pos="1191"/>
        <w:tab w:val="left" w:pos="1588"/>
        <w:tab w:val="left" w:pos="1985"/>
      </w:tabs>
      <w:spacing w:before="120"/>
    </w:pPr>
    <w:rPr>
      <w:rFonts w:ascii="Times New Roman" w:eastAsia="MS Mincho" w:hAnsi="Times New Roman"/>
      <w:sz w:val="28"/>
      <w:szCs w:val="20"/>
      <w:lang w:val="en-GB"/>
    </w:rPr>
  </w:style>
  <w:style w:type="character" w:customStyle="1" w:styleId="BodyText3Char">
    <w:name w:val="Body Text 3 Char"/>
    <w:basedOn w:val="DefaultParagraphFont"/>
    <w:link w:val="BodyText3"/>
    <w:rsid w:val="006F003E"/>
    <w:rPr>
      <w:rFonts w:ascii="Times New Roman" w:eastAsia="MS Mincho" w:hAnsi="Times New Roman" w:cs="Times New Roman"/>
      <w:sz w:val="28"/>
      <w:szCs w:val="20"/>
      <w:lang w:val="en-GB"/>
    </w:rPr>
  </w:style>
  <w:style w:type="paragraph" w:customStyle="1" w:styleId="TableText">
    <w:name w:val="Table_Text"/>
    <w:basedOn w:val="Normal"/>
    <w:rsid w:val="006F00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eastAsia="MS Mincho" w:hAnsi="Times New Roman"/>
      <w:szCs w:val="20"/>
      <w:lang w:val="en-GB"/>
    </w:rPr>
  </w:style>
  <w:style w:type="paragraph" w:customStyle="1" w:styleId="AnnexTitle">
    <w:name w:val="Annex_Title"/>
    <w:basedOn w:val="Normal"/>
    <w:next w:val="Normal"/>
    <w:rsid w:val="006F003E"/>
    <w:pPr>
      <w:keepNext/>
      <w:keepLines/>
      <w:numPr>
        <w:ilvl w:val="12"/>
      </w:numPr>
      <w:tabs>
        <w:tab w:val="left" w:pos="794"/>
        <w:tab w:val="left" w:pos="1191"/>
        <w:tab w:val="left" w:pos="1588"/>
        <w:tab w:val="left" w:pos="1985"/>
      </w:tabs>
      <w:spacing w:before="120"/>
      <w:jc w:val="center"/>
    </w:pPr>
    <w:rPr>
      <w:rFonts w:ascii="Times New Roman" w:eastAsia="MS Mincho" w:hAnsi="Times New Roman"/>
      <w:b/>
      <w:szCs w:val="20"/>
      <w:lang w:val="en-GB"/>
    </w:rPr>
  </w:style>
  <w:style w:type="character" w:styleId="UnresolvedMention">
    <w:name w:val="Unresolved Mention"/>
    <w:basedOn w:val="DefaultParagraphFont"/>
    <w:uiPriority w:val="99"/>
    <w:semiHidden/>
    <w:unhideWhenUsed/>
    <w:rsid w:val="00042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4158">
      <w:bodyDiv w:val="1"/>
      <w:marLeft w:val="0"/>
      <w:marRight w:val="0"/>
      <w:marTop w:val="0"/>
      <w:marBottom w:val="0"/>
      <w:divBdr>
        <w:top w:val="none" w:sz="0" w:space="0" w:color="auto"/>
        <w:left w:val="none" w:sz="0" w:space="0" w:color="auto"/>
        <w:bottom w:val="none" w:sz="0" w:space="0" w:color="auto"/>
        <w:right w:val="none" w:sz="0" w:space="0" w:color="auto"/>
      </w:divBdr>
    </w:div>
    <w:div w:id="187750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oth/T0404000003/en" TargetMode="External"/><Relationship Id="rId13" Type="http://schemas.openxmlformats.org/officeDocument/2006/relationships/hyperlink" Target="mailto:brmail@itu.in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tu.int/en/ITU-T/ipr/Pages/policy.aspx" TargetMode="External"/><Relationship Id="rId12" Type="http://schemas.openxmlformats.org/officeDocument/2006/relationships/hyperlink" Target="mailto:tsbdir@itu.in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uwe.loewenstein@itu.int" TargetMode="External"/><Relationship Id="rId4" Type="http://schemas.openxmlformats.org/officeDocument/2006/relationships/webSettings" Target="webSettings.xml"/><Relationship Id="rId9" Type="http://schemas.openxmlformats.org/officeDocument/2006/relationships/hyperlink" Target="https://www.itu.int/oth/T0404000003/en"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30BA-E87F-45E4-892A-50591DDA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2022-09-05T13:22:00Z</dcterms:created>
  <dcterms:modified xsi:type="dcterms:W3CDTF">2022-09-05T13:24:00Z</dcterms:modified>
</cp:coreProperties>
</file>